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1B308">
      <w:pPr>
        <w:pStyle w:val="3"/>
        <w:spacing w:line="600" w:lineRule="exact"/>
        <w:ind w:left="0" w:leftChars="0"/>
        <w:rPr>
          <w:rFonts w:hint="eastAsia" w:ascii="Times New Roman" w:hAnsi="Times New Roman" w:eastAsia="黑体"/>
          <w:sz w:val="32"/>
          <w:szCs w:val="40"/>
          <w:lang w:eastAsia="zh-CN"/>
        </w:rPr>
      </w:pPr>
      <w:r>
        <w:rPr>
          <w:rFonts w:ascii="Times New Roman" w:hAnsi="Times New Roman" w:eastAsia="黑体"/>
          <w:sz w:val="32"/>
          <w:szCs w:val="40"/>
        </w:rPr>
        <w:t>附件</w:t>
      </w:r>
      <w:r>
        <w:rPr>
          <w:rFonts w:hint="eastAsia" w:ascii="Times New Roman" w:hAnsi="Times New Roman" w:eastAsia="黑体"/>
          <w:sz w:val="32"/>
          <w:szCs w:val="40"/>
          <w:lang w:val="en-US" w:eastAsia="zh-CN"/>
        </w:rPr>
        <w:t>3</w:t>
      </w:r>
      <w:bookmarkStart w:id="32" w:name="_GoBack"/>
      <w:bookmarkEnd w:id="32"/>
    </w:p>
    <w:p w14:paraId="689D0387">
      <w:pPr>
        <w:widowControl/>
        <w:jc w:val="center"/>
        <w:rPr>
          <w:rFonts w:ascii="Times New Roman" w:hAnsi="Times New Roman" w:eastAsia="仿宋_GB2312"/>
          <w:b/>
          <w:color w:val="000000"/>
          <w:spacing w:val="-2"/>
          <w:kern w:val="0"/>
          <w:sz w:val="56"/>
          <w:szCs w:val="56"/>
          <w:lang w:bidi="ar"/>
        </w:rPr>
      </w:pPr>
    </w:p>
    <w:p w14:paraId="2CEDD0D8">
      <w:pPr>
        <w:widowControl/>
        <w:jc w:val="center"/>
        <w:rPr>
          <w:rFonts w:ascii="Times New Roman" w:hAnsi="Times New Roman" w:eastAsia="仿宋_GB2312"/>
          <w:b/>
          <w:color w:val="000000"/>
          <w:spacing w:val="-2"/>
          <w:kern w:val="0"/>
          <w:sz w:val="56"/>
          <w:szCs w:val="56"/>
          <w:lang w:bidi="ar"/>
        </w:rPr>
      </w:pPr>
    </w:p>
    <w:p w14:paraId="0E49BA7E">
      <w:pPr>
        <w:widowControl/>
        <w:jc w:val="center"/>
        <w:rPr>
          <w:rFonts w:ascii="Times New Roman" w:hAnsi="Times New Roman" w:eastAsia="仿宋_GB2312"/>
          <w:b/>
          <w:color w:val="000000"/>
          <w:spacing w:val="-2"/>
          <w:kern w:val="0"/>
          <w:sz w:val="56"/>
          <w:szCs w:val="56"/>
          <w:lang w:bidi="ar"/>
        </w:rPr>
      </w:pPr>
    </w:p>
    <w:p w14:paraId="155552A6">
      <w:pPr>
        <w:widowControl/>
        <w:jc w:val="center"/>
        <w:rPr>
          <w:rFonts w:ascii="Times New Roman" w:hAnsi="Times New Roman" w:eastAsia="黑体"/>
          <w:bCs/>
          <w:color w:val="000000"/>
          <w:spacing w:val="-2"/>
          <w:kern w:val="0"/>
          <w:sz w:val="52"/>
          <w:szCs w:val="52"/>
          <w:lang w:bidi="ar"/>
        </w:rPr>
      </w:pPr>
      <w:r>
        <w:rPr>
          <w:rFonts w:ascii="Times New Roman" w:hAnsi="Times New Roman" w:eastAsia="黑体"/>
          <w:bCs/>
          <w:color w:val="000000"/>
          <w:spacing w:val="-2"/>
          <w:kern w:val="0"/>
          <w:sz w:val="52"/>
          <w:szCs w:val="52"/>
          <w:lang w:bidi="ar"/>
        </w:rPr>
        <w:t>制造业数字化转型综合信息服务平台</w:t>
      </w:r>
    </w:p>
    <w:p w14:paraId="3E0F67B5">
      <w:pPr>
        <w:widowControl/>
        <w:jc w:val="center"/>
        <w:rPr>
          <w:rFonts w:ascii="Times New Roman" w:hAnsi="Times New Roman" w:eastAsia="黑体"/>
          <w:bCs/>
          <w:color w:val="000000"/>
          <w:kern w:val="0"/>
          <w:sz w:val="52"/>
          <w:szCs w:val="52"/>
          <w:lang w:bidi="ar"/>
        </w:rPr>
      </w:pPr>
      <w:r>
        <w:rPr>
          <w:rFonts w:ascii="Times New Roman" w:hAnsi="Times New Roman" w:eastAsia="黑体"/>
          <w:bCs/>
          <w:color w:val="000000"/>
          <w:spacing w:val="-2"/>
          <w:kern w:val="0"/>
          <w:sz w:val="52"/>
          <w:szCs w:val="52"/>
          <w:lang w:bidi="ar"/>
        </w:rPr>
        <w:t>用户</w:t>
      </w:r>
      <w:r>
        <w:rPr>
          <w:rFonts w:ascii="Times New Roman" w:hAnsi="Times New Roman" w:eastAsia="黑体"/>
          <w:bCs/>
          <w:color w:val="000000"/>
          <w:kern w:val="0"/>
          <w:sz w:val="52"/>
          <w:szCs w:val="52"/>
          <w:lang w:bidi="ar"/>
        </w:rPr>
        <w:t>手册（企业端）</w:t>
      </w:r>
    </w:p>
    <w:p w14:paraId="58AD0FF9">
      <w:pPr>
        <w:widowControl/>
        <w:jc w:val="center"/>
        <w:rPr>
          <w:rFonts w:ascii="Times New Roman" w:hAnsi="Times New Roman" w:eastAsia="仿宋_GB2312"/>
          <w:b/>
          <w:color w:val="000000"/>
          <w:kern w:val="0"/>
          <w:sz w:val="64"/>
          <w:szCs w:val="64"/>
          <w:lang w:bidi="ar"/>
        </w:rPr>
      </w:pPr>
    </w:p>
    <w:p w14:paraId="5D3F9E1A">
      <w:pPr>
        <w:widowControl/>
        <w:jc w:val="center"/>
        <w:rPr>
          <w:rFonts w:ascii="Times New Roman" w:hAnsi="Times New Roman" w:eastAsia="仿宋_GB2312"/>
          <w:color w:val="000000"/>
          <w:sz w:val="28"/>
          <w:szCs w:val="28"/>
        </w:rPr>
      </w:pPr>
    </w:p>
    <w:p w14:paraId="12828927">
      <w:pPr>
        <w:widowControl/>
        <w:jc w:val="center"/>
        <w:rPr>
          <w:rFonts w:ascii="Times New Roman" w:hAnsi="Times New Roman" w:eastAsia="仿宋_GB2312"/>
          <w:color w:val="000000"/>
          <w:sz w:val="28"/>
          <w:szCs w:val="28"/>
        </w:rPr>
      </w:pPr>
    </w:p>
    <w:p w14:paraId="3F373C40">
      <w:pPr>
        <w:widowControl/>
        <w:jc w:val="center"/>
        <w:rPr>
          <w:rFonts w:ascii="Times New Roman" w:hAnsi="Times New Roman" w:eastAsia="仿宋_GB2312"/>
          <w:color w:val="000000"/>
          <w:kern w:val="0"/>
          <w:sz w:val="32"/>
          <w:szCs w:val="32"/>
          <w:lang w:bidi="ar"/>
        </w:rPr>
      </w:pPr>
    </w:p>
    <w:p w14:paraId="3BCD1A49">
      <w:pPr>
        <w:widowControl/>
        <w:jc w:val="center"/>
        <w:rPr>
          <w:rFonts w:ascii="Times New Roman" w:hAnsi="Times New Roman" w:eastAsia="仿宋_GB2312"/>
          <w:color w:val="000000"/>
          <w:kern w:val="0"/>
          <w:sz w:val="32"/>
          <w:szCs w:val="32"/>
          <w:lang w:bidi="ar"/>
        </w:rPr>
      </w:pPr>
    </w:p>
    <w:p w14:paraId="187D2538">
      <w:pPr>
        <w:widowControl/>
        <w:jc w:val="center"/>
        <w:rPr>
          <w:rFonts w:ascii="Times New Roman" w:hAnsi="Times New Roman" w:eastAsia="仿宋_GB2312"/>
          <w:color w:val="000000"/>
          <w:kern w:val="0"/>
          <w:sz w:val="32"/>
          <w:szCs w:val="32"/>
          <w:lang w:bidi="ar"/>
        </w:rPr>
      </w:pPr>
    </w:p>
    <w:p w14:paraId="3AB7885F">
      <w:pPr>
        <w:widowControl/>
        <w:jc w:val="center"/>
        <w:rPr>
          <w:rFonts w:ascii="Times New Roman" w:hAnsi="Times New Roman" w:eastAsia="仿宋_GB2312"/>
          <w:color w:val="000000"/>
          <w:kern w:val="0"/>
          <w:sz w:val="32"/>
          <w:szCs w:val="32"/>
          <w:lang w:bidi="ar"/>
        </w:rPr>
      </w:pPr>
    </w:p>
    <w:p w14:paraId="27C5F18E">
      <w:pPr>
        <w:widowControl/>
        <w:jc w:val="center"/>
        <w:rPr>
          <w:rFonts w:ascii="Times New Roman" w:hAnsi="Times New Roman" w:eastAsia="仿宋_GB2312"/>
          <w:color w:val="000000"/>
          <w:kern w:val="0"/>
          <w:sz w:val="32"/>
          <w:szCs w:val="32"/>
          <w:lang w:bidi="ar"/>
        </w:rPr>
      </w:pPr>
    </w:p>
    <w:p w14:paraId="2C2AE4C9">
      <w:pPr>
        <w:widowControl/>
        <w:jc w:val="center"/>
        <w:rPr>
          <w:rFonts w:ascii="Times New Roman" w:hAnsi="Times New Roman" w:eastAsia="仿宋_GB2312"/>
          <w:color w:val="000000"/>
          <w:kern w:val="0"/>
          <w:sz w:val="32"/>
          <w:szCs w:val="32"/>
          <w:lang w:bidi="ar"/>
        </w:rPr>
      </w:pPr>
    </w:p>
    <w:p w14:paraId="74789DD0">
      <w:pPr>
        <w:widowControl/>
        <w:jc w:val="center"/>
        <w:rPr>
          <w:rFonts w:ascii="Times New Roman" w:hAnsi="Times New Roman" w:eastAsia="仿宋_GB2312"/>
          <w:color w:val="000000"/>
          <w:kern w:val="0"/>
          <w:sz w:val="32"/>
          <w:szCs w:val="32"/>
          <w:lang w:bidi="ar"/>
        </w:rPr>
      </w:pPr>
      <w:r>
        <w:rPr>
          <w:rFonts w:ascii="Times New Roman" w:hAnsi="Times New Roman" w:eastAsia="仿宋_GB2312"/>
          <w:color w:val="000000"/>
          <w:kern w:val="0"/>
          <w:sz w:val="32"/>
          <w:szCs w:val="32"/>
          <w:lang w:bidi="ar"/>
        </w:rPr>
        <w:t>中国信息通信研究院</w:t>
      </w:r>
    </w:p>
    <w:p w14:paraId="74E64831">
      <w:pPr>
        <w:widowControl/>
        <w:jc w:val="center"/>
        <w:rPr>
          <w:rFonts w:ascii="Times New Roman" w:hAnsi="Times New Roman" w:eastAsia="仿宋_GB2312"/>
          <w:color w:val="000000"/>
          <w:kern w:val="0"/>
          <w:sz w:val="32"/>
          <w:szCs w:val="32"/>
          <w:lang w:bidi="ar"/>
        </w:rPr>
      </w:pPr>
      <w:r>
        <w:rPr>
          <w:rFonts w:ascii="Times New Roman" w:hAnsi="Times New Roman" w:eastAsia="仿宋_GB2312"/>
          <w:color w:val="000000"/>
          <w:kern w:val="0"/>
          <w:sz w:val="32"/>
          <w:szCs w:val="32"/>
          <w:lang w:bidi="ar"/>
        </w:rPr>
        <w:t>2024年11月</w:t>
      </w:r>
    </w:p>
    <w:p w14:paraId="31FA09CB">
      <w:pPr>
        <w:widowControl/>
        <w:jc w:val="center"/>
        <w:rPr>
          <w:rFonts w:ascii="Times New Roman" w:hAnsi="Times New Roman" w:eastAsia="仿宋_GB2312"/>
          <w:color w:val="000000"/>
          <w:kern w:val="0"/>
          <w:sz w:val="32"/>
          <w:szCs w:val="32"/>
          <w:lang w:bidi="ar"/>
        </w:rPr>
      </w:pPr>
    </w:p>
    <w:p w14:paraId="1385360D">
      <w:pPr>
        <w:jc w:val="center"/>
        <w:rPr>
          <w:rFonts w:ascii="Times New Roman" w:hAnsi="Times New Roman" w:eastAsia="黑体"/>
          <w:sz w:val="40"/>
          <w:szCs w:val="40"/>
        </w:rPr>
      </w:pPr>
      <w:r>
        <w:rPr>
          <w:rFonts w:ascii="Times New Roman" w:hAnsi="Times New Roman" w:eastAsia="仿宋_GB2312"/>
          <w:sz w:val="48"/>
          <w:szCs w:val="48"/>
          <w:lang w:val="zh-CN"/>
        </w:rPr>
        <w:br w:type="page"/>
      </w:r>
      <w:r>
        <w:rPr>
          <w:rFonts w:ascii="Times New Roman" w:hAnsi="Times New Roman" w:eastAsia="黑体"/>
          <w:sz w:val="40"/>
          <w:szCs w:val="40"/>
          <w:lang w:val="zh-CN"/>
        </w:rPr>
        <w:t>目 录</w:t>
      </w:r>
    </w:p>
    <w:p w14:paraId="355AFD81">
      <w:pPr>
        <w:pStyle w:val="8"/>
        <w:tabs>
          <w:tab w:val="left" w:pos="560"/>
          <w:tab w:val="right" w:leader="dot" w:pos="8296"/>
        </w:tabs>
        <w:rPr>
          <w:rFonts w:ascii="Times New Roman" w:hAnsi="Times New Roman" w:eastAsia="等线" w:cs="Times New Roman"/>
          <w:b w:val="0"/>
          <w:bCs w:val="0"/>
          <w:sz w:val="21"/>
          <w:szCs w:val="22"/>
        </w:rPr>
      </w:pPr>
      <w:r>
        <w:rPr>
          <w:rFonts w:ascii="Times New Roman" w:hAnsi="Times New Roman" w:eastAsia="仿宋_GB2312" w:cs="Times New Roman"/>
          <w:b w:val="0"/>
          <w:bCs w:val="0"/>
          <w:lang w:val="zh-CN"/>
        </w:rPr>
        <w:fldChar w:fldCharType="begin"/>
      </w:r>
      <w:r>
        <w:rPr>
          <w:rFonts w:ascii="Times New Roman" w:hAnsi="Times New Roman" w:eastAsia="仿宋_GB2312" w:cs="Times New Roman"/>
          <w:b w:val="0"/>
          <w:bCs w:val="0"/>
          <w:lang w:val="zh-CN"/>
        </w:rPr>
        <w:instrText xml:space="preserve"> TOC \o "1-4" \h \z \u </w:instrText>
      </w:r>
      <w:r>
        <w:rPr>
          <w:rFonts w:ascii="Times New Roman" w:hAnsi="Times New Roman" w:eastAsia="仿宋_GB2312" w:cs="Times New Roman"/>
          <w:b w:val="0"/>
          <w:bCs w:val="0"/>
          <w:lang w:val="zh-CN"/>
        </w:rPr>
        <w:fldChar w:fldCharType="separate"/>
      </w:r>
      <w:r>
        <w:rPr>
          <w:rStyle w:val="12"/>
        </w:rPr>
        <w:fldChar w:fldCharType="begin"/>
      </w:r>
      <w:r>
        <w:rPr>
          <w:rStyle w:val="12"/>
        </w:rPr>
        <w:instrText xml:space="preserve"> </w:instrText>
      </w:r>
      <w:r>
        <w:rPr>
          <w:rFonts w:ascii="Times New Roman" w:hAnsi="Times New Roman" w:cs="Times New Roman"/>
        </w:rPr>
        <w:instrText xml:space="preserve">HYPERLINK \l "_Toc181267960"</w:instrText>
      </w:r>
      <w:r>
        <w:rPr>
          <w:rStyle w:val="12"/>
        </w:rPr>
        <w:instrText xml:space="preserve"> </w:instrText>
      </w:r>
      <w:r>
        <w:rPr>
          <w:rStyle w:val="12"/>
        </w:rPr>
        <w:fldChar w:fldCharType="separate"/>
      </w:r>
      <w:r>
        <w:rPr>
          <w:rStyle w:val="12"/>
          <w:rFonts w:eastAsia="仿宋_GB2312"/>
        </w:rPr>
        <w:t>1.概述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PAGEREF _Toc181267960 \h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fldChar w:fldCharType="end"/>
      </w:r>
      <w:r>
        <w:rPr>
          <w:rStyle w:val="12"/>
        </w:rPr>
        <w:fldChar w:fldCharType="end"/>
      </w:r>
    </w:p>
    <w:p w14:paraId="55068607">
      <w:pPr>
        <w:pStyle w:val="9"/>
        <w:tabs>
          <w:tab w:val="left" w:pos="1260"/>
          <w:tab w:val="right" w:leader="dot" w:pos="8296"/>
        </w:tabs>
        <w:ind w:left="0"/>
        <w:rPr>
          <w:rFonts w:ascii="Times New Roman" w:hAnsi="Times New Roman" w:eastAsia="等线" w:cs="Times New Roman"/>
          <w:iCs w:val="0"/>
          <w:sz w:val="21"/>
          <w:szCs w:val="22"/>
        </w:rPr>
      </w:pPr>
      <w:r>
        <w:rPr>
          <w:rStyle w:val="12"/>
        </w:rPr>
        <w:fldChar w:fldCharType="begin"/>
      </w:r>
      <w:r>
        <w:rPr>
          <w:rStyle w:val="12"/>
        </w:rPr>
        <w:instrText xml:space="preserve"> </w:instrText>
      </w:r>
      <w:r>
        <w:rPr>
          <w:rFonts w:ascii="Times New Roman" w:hAnsi="Times New Roman" w:cs="Times New Roman"/>
        </w:rPr>
        <w:instrText xml:space="preserve">HYPERLINK \l "_Toc181267961"</w:instrText>
      </w:r>
      <w:r>
        <w:rPr>
          <w:rStyle w:val="12"/>
        </w:rPr>
        <w:instrText xml:space="preserve"> </w:instrText>
      </w:r>
      <w:r>
        <w:rPr>
          <w:rStyle w:val="12"/>
        </w:rPr>
        <w:fldChar w:fldCharType="separate"/>
      </w:r>
      <w:r>
        <w:rPr>
          <w:rStyle w:val="12"/>
        </w:rPr>
        <w:t>1.1.</w:t>
      </w:r>
      <w:r>
        <w:rPr>
          <w:rStyle w:val="12"/>
          <w:rFonts w:eastAsia="仿宋_GB2312"/>
        </w:rPr>
        <w:t>编写目的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PAGEREF _Toc181267961 \h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fldChar w:fldCharType="end"/>
      </w:r>
      <w:r>
        <w:rPr>
          <w:rStyle w:val="12"/>
        </w:rPr>
        <w:fldChar w:fldCharType="end"/>
      </w:r>
    </w:p>
    <w:p w14:paraId="78AB5CCE">
      <w:pPr>
        <w:pStyle w:val="9"/>
        <w:tabs>
          <w:tab w:val="left" w:pos="1260"/>
          <w:tab w:val="right" w:leader="dot" w:pos="8296"/>
        </w:tabs>
        <w:ind w:left="0"/>
        <w:rPr>
          <w:rFonts w:ascii="Times New Roman" w:hAnsi="Times New Roman" w:eastAsia="等线" w:cs="Times New Roman"/>
          <w:iCs w:val="0"/>
          <w:sz w:val="21"/>
          <w:szCs w:val="22"/>
        </w:rPr>
      </w:pPr>
      <w:r>
        <w:rPr>
          <w:rStyle w:val="12"/>
        </w:rPr>
        <w:fldChar w:fldCharType="begin"/>
      </w:r>
      <w:r>
        <w:rPr>
          <w:rStyle w:val="12"/>
        </w:rPr>
        <w:instrText xml:space="preserve"> </w:instrText>
      </w:r>
      <w:r>
        <w:rPr>
          <w:rFonts w:ascii="Times New Roman" w:hAnsi="Times New Roman" w:cs="Times New Roman"/>
        </w:rPr>
        <w:instrText xml:space="preserve">HYPERLINK \l "_Toc181267962"</w:instrText>
      </w:r>
      <w:r>
        <w:rPr>
          <w:rStyle w:val="12"/>
        </w:rPr>
        <w:instrText xml:space="preserve"> </w:instrText>
      </w:r>
      <w:r>
        <w:rPr>
          <w:rStyle w:val="12"/>
        </w:rPr>
        <w:fldChar w:fldCharType="separate"/>
      </w:r>
      <w:r>
        <w:rPr>
          <w:rStyle w:val="12"/>
        </w:rPr>
        <w:t>1.2.</w:t>
      </w:r>
      <w:r>
        <w:rPr>
          <w:rStyle w:val="12"/>
          <w:rFonts w:eastAsia="仿宋_GB2312"/>
        </w:rPr>
        <w:t>使用范围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PAGEREF _Toc181267962 \h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fldChar w:fldCharType="end"/>
      </w:r>
      <w:r>
        <w:rPr>
          <w:rStyle w:val="12"/>
        </w:rPr>
        <w:fldChar w:fldCharType="end"/>
      </w:r>
    </w:p>
    <w:p w14:paraId="0B1070EC">
      <w:pPr>
        <w:pStyle w:val="8"/>
        <w:tabs>
          <w:tab w:val="left" w:pos="560"/>
          <w:tab w:val="right" w:leader="dot" w:pos="8296"/>
        </w:tabs>
        <w:rPr>
          <w:rFonts w:ascii="Times New Roman" w:hAnsi="Times New Roman" w:eastAsia="等线" w:cs="Times New Roman"/>
          <w:b w:val="0"/>
          <w:bCs w:val="0"/>
          <w:sz w:val="21"/>
          <w:szCs w:val="22"/>
        </w:rPr>
      </w:pPr>
      <w:r>
        <w:rPr>
          <w:rStyle w:val="12"/>
        </w:rPr>
        <w:fldChar w:fldCharType="begin"/>
      </w:r>
      <w:r>
        <w:rPr>
          <w:rStyle w:val="12"/>
        </w:rPr>
        <w:instrText xml:space="preserve"> </w:instrText>
      </w:r>
      <w:r>
        <w:rPr>
          <w:rFonts w:ascii="Times New Roman" w:hAnsi="Times New Roman" w:cs="Times New Roman"/>
        </w:rPr>
        <w:instrText xml:space="preserve">HYPERLINK \l "_Toc181267963"</w:instrText>
      </w:r>
      <w:r>
        <w:rPr>
          <w:rStyle w:val="12"/>
        </w:rPr>
        <w:instrText xml:space="preserve"> </w:instrText>
      </w:r>
      <w:r>
        <w:rPr>
          <w:rStyle w:val="12"/>
        </w:rPr>
        <w:fldChar w:fldCharType="separate"/>
      </w:r>
      <w:r>
        <w:rPr>
          <w:rStyle w:val="12"/>
          <w:rFonts w:eastAsia="仿宋_GB2312"/>
        </w:rPr>
        <w:t>2.主要功能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PAGEREF _Toc181267963 \h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fldChar w:fldCharType="end"/>
      </w:r>
      <w:r>
        <w:rPr>
          <w:rStyle w:val="12"/>
        </w:rPr>
        <w:fldChar w:fldCharType="end"/>
      </w:r>
    </w:p>
    <w:p w14:paraId="31EAC80F">
      <w:pPr>
        <w:pStyle w:val="9"/>
        <w:tabs>
          <w:tab w:val="left" w:pos="1260"/>
          <w:tab w:val="right" w:leader="dot" w:pos="8296"/>
        </w:tabs>
        <w:ind w:left="0"/>
        <w:rPr>
          <w:rFonts w:ascii="Times New Roman" w:hAnsi="Times New Roman" w:eastAsia="等线" w:cs="Times New Roman"/>
          <w:iCs w:val="0"/>
          <w:sz w:val="21"/>
          <w:szCs w:val="22"/>
        </w:rPr>
      </w:pPr>
      <w:r>
        <w:rPr>
          <w:rStyle w:val="12"/>
        </w:rPr>
        <w:fldChar w:fldCharType="begin"/>
      </w:r>
      <w:r>
        <w:rPr>
          <w:rStyle w:val="12"/>
        </w:rPr>
        <w:instrText xml:space="preserve"> </w:instrText>
      </w:r>
      <w:r>
        <w:rPr>
          <w:rFonts w:ascii="Times New Roman" w:hAnsi="Times New Roman" w:cs="Times New Roman"/>
        </w:rPr>
        <w:instrText xml:space="preserve">HYPERLINK \l "_Toc181267964"</w:instrText>
      </w:r>
      <w:r>
        <w:rPr>
          <w:rStyle w:val="12"/>
        </w:rPr>
        <w:instrText xml:space="preserve"> </w:instrText>
      </w:r>
      <w:r>
        <w:rPr>
          <w:rStyle w:val="12"/>
        </w:rPr>
        <w:fldChar w:fldCharType="separate"/>
      </w:r>
      <w:r>
        <w:rPr>
          <w:rStyle w:val="12"/>
        </w:rPr>
        <w:t>2.1.</w:t>
      </w:r>
      <w:r>
        <w:rPr>
          <w:rStyle w:val="12"/>
          <w:rFonts w:eastAsia="仿宋_GB2312"/>
        </w:rPr>
        <w:t>访问地址.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PAGEREF _Toc181267964 \h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fldChar w:fldCharType="end"/>
      </w:r>
      <w:r>
        <w:rPr>
          <w:rStyle w:val="12"/>
        </w:rPr>
        <w:fldChar w:fldCharType="end"/>
      </w:r>
    </w:p>
    <w:p w14:paraId="1B38BCCB">
      <w:pPr>
        <w:pStyle w:val="9"/>
        <w:tabs>
          <w:tab w:val="left" w:pos="1260"/>
          <w:tab w:val="right" w:leader="dot" w:pos="8296"/>
        </w:tabs>
        <w:ind w:left="0"/>
        <w:rPr>
          <w:rFonts w:ascii="Times New Roman" w:hAnsi="Times New Roman" w:eastAsia="等线" w:cs="Times New Roman"/>
          <w:iCs w:val="0"/>
          <w:sz w:val="21"/>
          <w:szCs w:val="22"/>
        </w:rPr>
      </w:pPr>
      <w:r>
        <w:rPr>
          <w:rStyle w:val="12"/>
        </w:rPr>
        <w:fldChar w:fldCharType="begin"/>
      </w:r>
      <w:r>
        <w:rPr>
          <w:rStyle w:val="12"/>
        </w:rPr>
        <w:instrText xml:space="preserve"> </w:instrText>
      </w:r>
      <w:r>
        <w:rPr>
          <w:rFonts w:ascii="Times New Roman" w:hAnsi="Times New Roman" w:cs="Times New Roman"/>
        </w:rPr>
        <w:instrText xml:space="preserve">HYPERLINK \l "_Toc181267965"</w:instrText>
      </w:r>
      <w:r>
        <w:rPr>
          <w:rStyle w:val="12"/>
        </w:rPr>
        <w:instrText xml:space="preserve"> </w:instrText>
      </w:r>
      <w:r>
        <w:rPr>
          <w:rStyle w:val="12"/>
        </w:rPr>
        <w:fldChar w:fldCharType="separate"/>
      </w:r>
      <w:r>
        <w:rPr>
          <w:rStyle w:val="12"/>
        </w:rPr>
        <w:t>2.2.</w:t>
      </w:r>
      <w:r>
        <w:rPr>
          <w:rStyle w:val="12"/>
          <w:rFonts w:eastAsia="仿宋_GB2312"/>
        </w:rPr>
        <w:t>用户注册及登录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PAGEREF _Toc181267965 \h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fldChar w:fldCharType="end"/>
      </w:r>
      <w:r>
        <w:rPr>
          <w:rStyle w:val="12"/>
        </w:rPr>
        <w:fldChar w:fldCharType="end"/>
      </w:r>
    </w:p>
    <w:p w14:paraId="1EA80E8A">
      <w:pPr>
        <w:pStyle w:val="9"/>
        <w:tabs>
          <w:tab w:val="left" w:pos="1260"/>
          <w:tab w:val="right" w:leader="dot" w:pos="8296"/>
        </w:tabs>
        <w:ind w:left="0"/>
        <w:rPr>
          <w:rFonts w:ascii="Times New Roman" w:hAnsi="Times New Roman" w:eastAsia="等线" w:cs="Times New Roman"/>
          <w:iCs w:val="0"/>
          <w:sz w:val="21"/>
          <w:szCs w:val="22"/>
        </w:rPr>
      </w:pPr>
      <w:r>
        <w:rPr>
          <w:rStyle w:val="12"/>
        </w:rPr>
        <w:fldChar w:fldCharType="begin"/>
      </w:r>
      <w:r>
        <w:rPr>
          <w:rStyle w:val="12"/>
        </w:rPr>
        <w:instrText xml:space="preserve"> </w:instrText>
      </w:r>
      <w:r>
        <w:rPr>
          <w:rFonts w:ascii="Times New Roman" w:hAnsi="Times New Roman" w:cs="Times New Roman"/>
        </w:rPr>
        <w:instrText xml:space="preserve">HYPERLINK \l "_Toc181267966"</w:instrText>
      </w:r>
      <w:r>
        <w:rPr>
          <w:rStyle w:val="12"/>
        </w:rPr>
        <w:instrText xml:space="preserve"> </w:instrText>
      </w:r>
      <w:r>
        <w:rPr>
          <w:rStyle w:val="12"/>
        </w:rPr>
        <w:fldChar w:fldCharType="separate"/>
      </w:r>
      <w:r>
        <w:rPr>
          <w:rStyle w:val="12"/>
        </w:rPr>
        <w:t>2.3.</w:t>
      </w:r>
      <w:r>
        <w:rPr>
          <w:rStyle w:val="12"/>
          <w:rFonts w:eastAsia="仿宋_GB2312"/>
        </w:rPr>
        <w:t>在线自评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PAGEREF _Toc181267966 \h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fldChar w:fldCharType="end"/>
      </w:r>
      <w:r>
        <w:rPr>
          <w:rStyle w:val="12"/>
        </w:rPr>
        <w:fldChar w:fldCharType="end"/>
      </w:r>
    </w:p>
    <w:p w14:paraId="1B83F93B">
      <w:pPr>
        <w:pStyle w:val="9"/>
        <w:tabs>
          <w:tab w:val="left" w:pos="1260"/>
          <w:tab w:val="right" w:leader="dot" w:pos="8296"/>
        </w:tabs>
        <w:ind w:left="0"/>
        <w:rPr>
          <w:rFonts w:ascii="Times New Roman" w:hAnsi="Times New Roman" w:eastAsia="等线" w:cs="Times New Roman"/>
          <w:iCs w:val="0"/>
          <w:sz w:val="21"/>
          <w:szCs w:val="22"/>
        </w:rPr>
      </w:pPr>
      <w:r>
        <w:rPr>
          <w:rStyle w:val="12"/>
        </w:rPr>
        <w:fldChar w:fldCharType="begin"/>
      </w:r>
      <w:r>
        <w:rPr>
          <w:rStyle w:val="12"/>
        </w:rPr>
        <w:instrText xml:space="preserve"> </w:instrText>
      </w:r>
      <w:r>
        <w:rPr>
          <w:rFonts w:ascii="Times New Roman" w:hAnsi="Times New Roman" w:cs="Times New Roman"/>
        </w:rPr>
        <w:instrText xml:space="preserve">HYPERLINK \l "_Toc181267967"</w:instrText>
      </w:r>
      <w:r>
        <w:rPr>
          <w:rStyle w:val="12"/>
        </w:rPr>
        <w:instrText xml:space="preserve"> </w:instrText>
      </w:r>
      <w:r>
        <w:rPr>
          <w:rStyle w:val="12"/>
        </w:rPr>
        <w:fldChar w:fldCharType="separate"/>
      </w:r>
      <w:r>
        <w:rPr>
          <w:rStyle w:val="12"/>
        </w:rPr>
        <w:t>2.4.</w:t>
      </w:r>
      <w:r>
        <w:rPr>
          <w:rStyle w:val="12"/>
          <w:rFonts w:eastAsia="仿宋_GB2312"/>
        </w:rPr>
        <w:t>评估档案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PAGEREF _Toc181267967 \h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fldChar w:fldCharType="end"/>
      </w:r>
      <w:r>
        <w:rPr>
          <w:rStyle w:val="12"/>
        </w:rPr>
        <w:fldChar w:fldCharType="end"/>
      </w:r>
    </w:p>
    <w:p w14:paraId="6C3B4E9F">
      <w:pPr>
        <w:pStyle w:val="9"/>
        <w:tabs>
          <w:tab w:val="left" w:pos="1260"/>
          <w:tab w:val="right" w:leader="dot" w:pos="8296"/>
        </w:tabs>
        <w:ind w:left="0"/>
        <w:rPr>
          <w:rFonts w:ascii="Times New Roman" w:hAnsi="Times New Roman" w:eastAsia="等线" w:cs="Times New Roman"/>
          <w:iCs w:val="0"/>
          <w:sz w:val="21"/>
          <w:szCs w:val="22"/>
        </w:rPr>
      </w:pPr>
      <w:r>
        <w:rPr>
          <w:rStyle w:val="12"/>
        </w:rPr>
        <w:fldChar w:fldCharType="begin"/>
      </w:r>
      <w:r>
        <w:rPr>
          <w:rStyle w:val="12"/>
        </w:rPr>
        <w:instrText xml:space="preserve"> </w:instrText>
      </w:r>
      <w:r>
        <w:rPr>
          <w:rFonts w:ascii="Times New Roman" w:hAnsi="Times New Roman" w:cs="Times New Roman"/>
        </w:rPr>
        <w:instrText xml:space="preserve">HYPERLINK \l "_Toc181267968"</w:instrText>
      </w:r>
      <w:r>
        <w:rPr>
          <w:rStyle w:val="12"/>
        </w:rPr>
        <w:instrText xml:space="preserve"> </w:instrText>
      </w:r>
      <w:r>
        <w:rPr>
          <w:rStyle w:val="12"/>
        </w:rPr>
        <w:fldChar w:fldCharType="separate"/>
      </w:r>
      <w:r>
        <w:rPr>
          <w:rStyle w:val="12"/>
        </w:rPr>
        <w:t>2.5.</w:t>
      </w:r>
      <w:r>
        <w:rPr>
          <w:rStyle w:val="12"/>
          <w:rFonts w:eastAsia="仿宋_GB2312"/>
        </w:rPr>
        <w:t>企业信息及填报历史记录查看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PAGEREF _Toc181267968 \h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fldChar w:fldCharType="end"/>
      </w:r>
      <w:r>
        <w:rPr>
          <w:rStyle w:val="12"/>
        </w:rPr>
        <w:fldChar w:fldCharType="end"/>
      </w:r>
    </w:p>
    <w:p w14:paraId="5D9D2AB5">
      <w:pPr>
        <w:rPr>
          <w:rFonts w:ascii="Times New Roman" w:hAnsi="Times New Roman" w:eastAsia="仿宋_GB2312"/>
          <w:lang w:val="zh-CN"/>
        </w:rPr>
      </w:pPr>
      <w:r>
        <w:rPr>
          <w:rFonts w:ascii="Times New Roman" w:hAnsi="Times New Roman" w:eastAsia="仿宋_GB2312"/>
          <w:bCs/>
          <w:szCs w:val="20"/>
          <w:lang w:val="zh-CN"/>
        </w:rPr>
        <w:fldChar w:fldCharType="end"/>
      </w:r>
    </w:p>
    <w:p w14:paraId="6958E7AD">
      <w:pPr>
        <w:pStyle w:val="4"/>
        <w:rPr>
          <w:rFonts w:hint="default" w:ascii="Times New Roman" w:hAnsi="Times New Roman" w:eastAsia="仿宋_GB231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Toc15026831"/>
      <w:bookmarkEnd w:id="0"/>
      <w:bookmarkStart w:id="1" w:name="_Toc17143"/>
      <w:bookmarkEnd w:id="1"/>
      <w:bookmarkStart w:id="2" w:name="_Toc13068830"/>
    </w:p>
    <w:bookmarkEnd w:id="2"/>
    <w:p w14:paraId="484ABE89">
      <w:pPr>
        <w:pStyle w:val="4"/>
        <w:numPr>
          <w:ilvl w:val="0"/>
          <w:numId w:val="0"/>
        </w:numPr>
        <w:spacing w:before="0" w:beforeAutospacing="0" w:after="0" w:afterAutospacing="0" w:line="500" w:lineRule="exact"/>
        <w:rPr>
          <w:rFonts w:hint="default" w:ascii="Times New Roman" w:hAnsi="Times New Roman" w:eastAsia="仿宋_GB2312"/>
          <w:sz w:val="28"/>
          <w:szCs w:val="28"/>
        </w:rPr>
      </w:pPr>
      <w:bookmarkStart w:id="3" w:name="_Toc181267960"/>
      <w:r>
        <w:rPr>
          <w:rFonts w:hint="default" w:ascii="Times New Roman" w:hAnsi="Times New Roman" w:eastAsia="仿宋_GB2312"/>
          <w:sz w:val="28"/>
          <w:szCs w:val="28"/>
        </w:rPr>
        <w:t>1.概述</w:t>
      </w:r>
      <w:bookmarkEnd w:id="3"/>
    </w:p>
    <w:p w14:paraId="5B2CBA10">
      <w:pPr>
        <w:pStyle w:val="5"/>
        <w:numPr>
          <w:ilvl w:val="0"/>
          <w:numId w:val="0"/>
        </w:numPr>
        <w:spacing w:before="0" w:beforeAutospacing="0" w:after="0" w:afterAutospacing="0" w:line="500" w:lineRule="exact"/>
        <w:ind w:left="575" w:hanging="575"/>
        <w:rPr>
          <w:rFonts w:hint="default" w:ascii="Times New Roman" w:hAnsi="Times New Roman" w:eastAsia="仿宋_GB2312"/>
          <w:sz w:val="28"/>
          <w:szCs w:val="28"/>
        </w:rPr>
      </w:pPr>
      <w:bookmarkStart w:id="4" w:name="_Toc15026833"/>
      <w:bookmarkEnd w:id="4"/>
      <w:bookmarkStart w:id="5" w:name="_Toc13068832"/>
      <w:bookmarkEnd w:id="5"/>
      <w:bookmarkStart w:id="6" w:name="_Toc15026832"/>
      <w:bookmarkEnd w:id="6"/>
      <w:bookmarkStart w:id="7" w:name="_Toc2953"/>
      <w:bookmarkEnd w:id="7"/>
      <w:bookmarkStart w:id="8" w:name="_Toc27367"/>
      <w:bookmarkStart w:id="9" w:name="_Toc181267961"/>
      <w:r>
        <w:rPr>
          <w:rFonts w:hint="default" w:ascii="Times New Roman" w:hAnsi="Times New Roman" w:eastAsia="宋体"/>
          <w:sz w:val="28"/>
          <w:szCs w:val="28"/>
        </w:rPr>
        <w:t>1.1.</w:t>
      </w:r>
      <w:r>
        <w:rPr>
          <w:rFonts w:hint="default" w:ascii="Times New Roman" w:hAnsi="Times New Roman" w:eastAsia="仿宋_GB2312"/>
          <w:sz w:val="28"/>
          <w:szCs w:val="28"/>
        </w:rPr>
        <w:t>编写目的</w:t>
      </w:r>
      <w:bookmarkEnd w:id="8"/>
      <w:bookmarkEnd w:id="9"/>
    </w:p>
    <w:p w14:paraId="23F876BB">
      <w:pPr>
        <w:widowControl/>
        <w:spacing w:line="500" w:lineRule="exact"/>
        <w:ind w:firstLine="560" w:firstLineChars="200"/>
        <w:rPr>
          <w:rFonts w:ascii="Times New Roman" w:hAnsi="Times New Roman" w:eastAsia="仿宋_GB2312"/>
          <w:color w:val="000000"/>
          <w:sz w:val="28"/>
          <w:szCs w:val="28"/>
        </w:rPr>
      </w:pPr>
      <w:bookmarkStart w:id="10" w:name="_Hlk51752938"/>
      <w:r>
        <w:rPr>
          <w:rFonts w:ascii="Times New Roman" w:hAnsi="Times New Roman" w:eastAsia="仿宋_GB2312"/>
          <w:color w:val="000000"/>
          <w:kern w:val="0"/>
          <w:sz w:val="28"/>
          <w:szCs w:val="28"/>
          <w:lang w:bidi="ar"/>
        </w:rPr>
        <w:t>制造业数字化转型综合信息服务平台企业端用户手册，为工业规上企业在线填报数据提供使用说明。</w:t>
      </w:r>
    </w:p>
    <w:bookmarkEnd w:id="10"/>
    <w:p w14:paraId="3A6AD7B9">
      <w:pPr>
        <w:pStyle w:val="5"/>
        <w:numPr>
          <w:ilvl w:val="0"/>
          <w:numId w:val="0"/>
        </w:numPr>
        <w:spacing w:before="0" w:beforeAutospacing="0" w:after="0" w:afterAutospacing="0" w:line="500" w:lineRule="exact"/>
        <w:ind w:left="575" w:hanging="575"/>
        <w:rPr>
          <w:rFonts w:hint="default" w:ascii="Times New Roman" w:hAnsi="Times New Roman" w:eastAsia="仿宋_GB2312"/>
          <w:sz w:val="28"/>
          <w:szCs w:val="28"/>
        </w:rPr>
      </w:pPr>
      <w:bookmarkStart w:id="11" w:name="_Toc13068833"/>
      <w:bookmarkEnd w:id="11"/>
      <w:bookmarkStart w:id="12" w:name="_Toc23741"/>
      <w:bookmarkEnd w:id="12"/>
      <w:bookmarkStart w:id="13" w:name="_Toc15026834"/>
      <w:bookmarkStart w:id="14" w:name="_Toc181267962"/>
      <w:r>
        <w:rPr>
          <w:rFonts w:hint="default" w:ascii="Times New Roman" w:hAnsi="Times New Roman" w:eastAsia="宋体"/>
          <w:sz w:val="28"/>
          <w:szCs w:val="28"/>
        </w:rPr>
        <w:t>1.2.</w:t>
      </w:r>
      <w:r>
        <w:rPr>
          <w:rFonts w:hint="default" w:ascii="Times New Roman" w:hAnsi="Times New Roman" w:eastAsia="仿宋_GB2312"/>
          <w:sz w:val="28"/>
          <w:szCs w:val="28"/>
        </w:rPr>
        <w:t>使用范围</w:t>
      </w:r>
      <w:bookmarkEnd w:id="13"/>
      <w:bookmarkEnd w:id="14"/>
    </w:p>
    <w:p w14:paraId="5D33B254">
      <w:pPr>
        <w:widowControl/>
        <w:spacing w:line="500" w:lineRule="exact"/>
        <w:ind w:firstLine="560" w:firstLineChars="200"/>
        <w:rPr>
          <w:rFonts w:ascii="Times New Roman" w:hAnsi="Times New Roman" w:eastAsia="仿宋_GB2312"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 w:eastAsia="仿宋_GB2312"/>
          <w:color w:val="000000"/>
          <w:kern w:val="0"/>
          <w:sz w:val="28"/>
          <w:szCs w:val="28"/>
          <w:lang w:bidi="ar"/>
        </w:rPr>
        <w:t>北京市、河北省、辽宁省、黑龙江省、江苏省、浙江省、安徽省、江西省、河南省、湖南省、福建省、广东省、广西壮族自治区、四川省、宁夏回族自治区15个省份的全部规上工业企业。</w:t>
      </w:r>
    </w:p>
    <w:p w14:paraId="3FE932AE">
      <w:pPr>
        <w:pStyle w:val="4"/>
        <w:numPr>
          <w:ilvl w:val="0"/>
          <w:numId w:val="0"/>
        </w:numPr>
        <w:spacing w:before="0" w:beforeAutospacing="0" w:after="0" w:afterAutospacing="0" w:line="500" w:lineRule="exact"/>
        <w:rPr>
          <w:rFonts w:hint="default" w:ascii="Times New Roman" w:hAnsi="Times New Roman" w:eastAsia="仿宋_GB2312"/>
          <w:sz w:val="28"/>
          <w:szCs w:val="28"/>
        </w:rPr>
      </w:pPr>
      <w:bookmarkStart w:id="15" w:name="_Toc15026835"/>
      <w:bookmarkEnd w:id="15"/>
      <w:bookmarkStart w:id="16" w:name="_Toc181267963"/>
      <w:bookmarkStart w:id="17" w:name="_Toc26072"/>
      <w:r>
        <w:rPr>
          <w:rFonts w:hint="default" w:ascii="Times New Roman" w:hAnsi="Times New Roman" w:eastAsia="仿宋_GB2312"/>
          <w:sz w:val="28"/>
          <w:szCs w:val="28"/>
        </w:rPr>
        <w:t>2.主要功能</w:t>
      </w:r>
      <w:bookmarkEnd w:id="16"/>
      <w:bookmarkEnd w:id="17"/>
    </w:p>
    <w:p w14:paraId="086AF173">
      <w:pPr>
        <w:pStyle w:val="5"/>
        <w:numPr>
          <w:ilvl w:val="0"/>
          <w:numId w:val="0"/>
        </w:numPr>
        <w:spacing w:before="0" w:beforeAutospacing="0" w:after="0" w:afterAutospacing="0" w:line="500" w:lineRule="exact"/>
        <w:ind w:left="575" w:hanging="575"/>
        <w:rPr>
          <w:rFonts w:hint="default" w:ascii="Times New Roman" w:hAnsi="Times New Roman" w:eastAsia="仿宋_GB2312"/>
          <w:sz w:val="28"/>
          <w:szCs w:val="28"/>
        </w:rPr>
      </w:pPr>
      <w:bookmarkStart w:id="18" w:name="_Toc181267964"/>
      <w:r>
        <w:rPr>
          <w:rFonts w:hint="default" w:ascii="Times New Roman" w:hAnsi="Times New Roman" w:eastAsia="宋体"/>
          <w:sz w:val="28"/>
          <w:szCs w:val="28"/>
        </w:rPr>
        <w:t>2.1.</w:t>
      </w:r>
      <w:r>
        <w:rPr>
          <w:rFonts w:hint="default" w:ascii="Times New Roman" w:hAnsi="Times New Roman" w:eastAsia="仿宋_GB2312"/>
          <w:sz w:val="28"/>
          <w:szCs w:val="28"/>
        </w:rPr>
        <w:t>访问地址</w:t>
      </w:r>
      <w:bookmarkEnd w:id="18"/>
    </w:p>
    <w:p w14:paraId="769AA02F">
      <w:pPr>
        <w:spacing w:line="500" w:lineRule="exact"/>
        <w:ind w:firstLine="560" w:firstLineChars="200"/>
        <w:rPr>
          <w:rFonts w:ascii="Times New Roman" w:hAnsi="Times New Roman" w:eastAsia="仿宋_GB2312"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 w:eastAsia="仿宋_GB2312"/>
          <w:color w:val="000000"/>
          <w:kern w:val="0"/>
          <w:sz w:val="28"/>
          <w:szCs w:val="28"/>
          <w:lang w:bidi="ar"/>
        </w:rPr>
        <w:t>企业可登录工信部门户网站（www.miit.gov.cn），在政务服务平台的公共服务平台栏目中点击“制造业数字化转型综合信息服务平台”进入平台。企业也可通过直接输</w:t>
      </w:r>
      <w:r>
        <w:rPr>
          <w:rFonts w:ascii="Times New Roman" w:hAnsi="Times New Roman" w:eastAsia="仿宋_GB2312"/>
          <w:color w:val="000000"/>
          <w:sz w:val="28"/>
          <w:szCs w:val="28"/>
        </w:rPr>
        <w:t>入网址</w:t>
      </w:r>
      <w:r>
        <w:rPr>
          <w:rStyle w:val="12"/>
          <w:rFonts w:eastAsia="仿宋_GB2312"/>
          <w:color w:val="000000"/>
          <w:sz w:val="28"/>
          <w:szCs w:val="28"/>
        </w:rPr>
        <w:t>https://szgx.miit.gov.cn/zzyszh/</w:t>
      </w:r>
      <w:r>
        <w:rPr>
          <w:rFonts w:ascii="Times New Roman" w:hAnsi="Times New Roman" w:eastAsia="仿宋_GB2312"/>
          <w:color w:val="000000"/>
          <w:sz w:val="28"/>
          <w:szCs w:val="28"/>
        </w:rPr>
        <w:t>，进入</w:t>
      </w:r>
      <w:r>
        <w:rPr>
          <w:rFonts w:ascii="Times New Roman" w:hAnsi="Times New Roman" w:eastAsia="仿宋_GB2312"/>
          <w:color w:val="000000"/>
          <w:kern w:val="0"/>
          <w:sz w:val="28"/>
          <w:szCs w:val="28"/>
          <w:lang w:bidi="ar"/>
        </w:rPr>
        <w:t>制造业数字化转型综合信息服务平台。</w:t>
      </w:r>
    </w:p>
    <w:p w14:paraId="3F5BCB14">
      <w:pPr>
        <w:spacing w:line="500" w:lineRule="exact"/>
        <w:ind w:firstLine="42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（推荐使用谷歌、火狐浏览器、360浏览器极速模式）</w:t>
      </w:r>
    </w:p>
    <w:p w14:paraId="5C379255">
      <w:pPr>
        <w:pStyle w:val="5"/>
        <w:numPr>
          <w:ilvl w:val="0"/>
          <w:numId w:val="0"/>
        </w:numPr>
        <w:spacing w:before="0" w:beforeAutospacing="0" w:after="0" w:afterAutospacing="0" w:line="500" w:lineRule="exact"/>
        <w:ind w:left="575" w:hanging="575"/>
        <w:rPr>
          <w:rFonts w:hint="default" w:ascii="Times New Roman" w:hAnsi="Times New Roman" w:eastAsia="仿宋_GB2312"/>
          <w:sz w:val="28"/>
          <w:szCs w:val="28"/>
        </w:rPr>
      </w:pPr>
      <w:bookmarkStart w:id="19" w:name="_Toc15026837"/>
      <w:bookmarkEnd w:id="19"/>
      <w:bookmarkStart w:id="20" w:name="_Toc15026836"/>
      <w:bookmarkEnd w:id="20"/>
      <w:bookmarkStart w:id="21" w:name="_Toc16944"/>
      <w:bookmarkEnd w:id="21"/>
      <w:bookmarkStart w:id="22" w:name="_Toc13068836"/>
      <w:bookmarkEnd w:id="22"/>
      <w:bookmarkStart w:id="23" w:name="_Toc181267965"/>
      <w:bookmarkStart w:id="24" w:name="_Toc2227"/>
      <w:r>
        <w:rPr>
          <w:rFonts w:hint="default" w:ascii="Times New Roman" w:hAnsi="Times New Roman" w:eastAsia="宋体"/>
          <w:sz w:val="28"/>
          <w:szCs w:val="28"/>
        </w:rPr>
        <w:t>2.2.</w:t>
      </w:r>
      <w:r>
        <w:rPr>
          <w:rFonts w:hint="default" w:ascii="Times New Roman" w:hAnsi="Times New Roman" w:eastAsia="仿宋_GB2312"/>
          <w:sz w:val="28"/>
          <w:szCs w:val="28"/>
        </w:rPr>
        <w:t>用户注册及登录</w:t>
      </w:r>
      <w:bookmarkEnd w:id="23"/>
      <w:bookmarkEnd w:id="24"/>
    </w:p>
    <w:p w14:paraId="5CCFA9FA">
      <w:pPr>
        <w:widowControl/>
        <w:spacing w:line="500" w:lineRule="exact"/>
        <w:ind w:firstLine="560" w:firstLineChars="200"/>
        <w:rPr>
          <w:rFonts w:ascii="Times New Roman" w:hAnsi="Times New Roman" w:eastAsia="仿宋_GB2312"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 w:eastAsia="仿宋_GB2312"/>
          <w:color w:val="000000"/>
          <w:kern w:val="0"/>
          <w:sz w:val="28"/>
          <w:szCs w:val="28"/>
          <w:lang w:bidi="ar"/>
        </w:rPr>
        <w:t>平台使用工信部用户登录体系，之前已经在工信部官网注册过的企业用户，可通过点击平台右上角“登录”按钮，进入登录页面，输入统一社会信用代码及密码，验证登录进入平台进行在线自评。</w:t>
      </w:r>
    </w:p>
    <w:p w14:paraId="1956CDB7">
      <w:pPr>
        <w:widowControl/>
        <w:spacing w:line="500" w:lineRule="exact"/>
        <w:ind w:firstLine="560" w:firstLineChars="200"/>
        <w:rPr>
          <w:rFonts w:ascii="Times New Roman" w:hAnsi="Times New Roman" w:eastAsia="仿宋_GB2312"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 w:eastAsia="仿宋_GB2312"/>
          <w:color w:val="000000"/>
          <w:kern w:val="0"/>
          <w:sz w:val="28"/>
          <w:szCs w:val="28"/>
          <w:lang w:bidi="ar"/>
        </w:rPr>
        <w:t>未在工信部注册过的企业用户，可点击首页右上角“注册”按钮或登录页面“还没账号？立即注册”按钮进行用户注册，在注册页面填写法人信息及绑定手机号信息等，完成企业用户的注册，完成注册即可登录平台进行在线自评。</w:t>
      </w:r>
    </w:p>
    <w:p w14:paraId="0054E897">
      <w:pPr>
        <w:widowControl/>
        <w:spacing w:line="360" w:lineRule="auto"/>
        <w:rPr>
          <w:rFonts w:ascii="Times New Roman" w:hAnsi="Times New Roman" w:eastAsia="仿宋_GB2312"/>
          <w:color w:val="000000"/>
          <w:kern w:val="0"/>
          <w:sz w:val="24"/>
          <w:lang w:bidi="ar"/>
        </w:rPr>
      </w:pPr>
    </w:p>
    <w:p w14:paraId="7D0D0798">
      <w:pPr>
        <w:widowControl/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4493260" cy="2062480"/>
            <wp:effectExtent l="0" t="0" r="2540" b="101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9326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81537">
      <w:pPr>
        <w:widowControl/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4344670" cy="2307590"/>
            <wp:effectExtent l="76200" t="76200" r="13970" b="889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467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3499999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50D200">
      <w:pPr>
        <w:pStyle w:val="5"/>
        <w:numPr>
          <w:ilvl w:val="0"/>
          <w:numId w:val="0"/>
        </w:numPr>
        <w:spacing w:before="0" w:beforeAutospacing="0" w:after="0" w:afterAutospacing="0" w:line="500" w:lineRule="exact"/>
        <w:ind w:left="575" w:hanging="575"/>
        <w:rPr>
          <w:rFonts w:hint="default" w:ascii="Times New Roman" w:hAnsi="Times New Roman" w:eastAsia="仿宋_GB2312"/>
          <w:sz w:val="28"/>
          <w:szCs w:val="28"/>
        </w:rPr>
      </w:pPr>
      <w:bookmarkStart w:id="25" w:name="_Toc181267966"/>
      <w:r>
        <w:rPr>
          <w:rFonts w:hint="default" w:ascii="Times New Roman" w:hAnsi="Times New Roman" w:eastAsia="宋体"/>
          <w:sz w:val="28"/>
          <w:szCs w:val="28"/>
        </w:rPr>
        <w:t>2.3.</w:t>
      </w:r>
      <w:r>
        <w:rPr>
          <w:rFonts w:hint="default" w:ascii="Times New Roman" w:hAnsi="Times New Roman" w:eastAsia="仿宋_GB2312"/>
          <w:sz w:val="28"/>
          <w:szCs w:val="28"/>
        </w:rPr>
        <w:t>在线自评</w:t>
      </w:r>
      <w:bookmarkEnd w:id="25"/>
    </w:p>
    <w:p w14:paraId="5A6D690D">
      <w:pPr>
        <w:widowControl/>
        <w:spacing w:line="500" w:lineRule="exact"/>
        <w:ind w:firstLine="560" w:firstLineChars="200"/>
        <w:rPr>
          <w:rFonts w:ascii="Times New Roman" w:hAnsi="Times New Roman" w:eastAsia="仿宋_GB2312"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 w:eastAsia="仿宋_GB2312"/>
          <w:color w:val="000000"/>
          <w:kern w:val="0"/>
          <w:sz w:val="28"/>
          <w:szCs w:val="28"/>
          <w:lang w:bidi="ar"/>
        </w:rPr>
        <w:t>登录完成后，企业可通过点击轮播图中的“立即自评”按钮或转型评估模块下的“去评测”按钮，进行在线自评。自评之前需要完成自评承诺，勾选“我已认真阅读并承诺遵守上述规定”勾选框，点击进入去评测开始在线自评。</w:t>
      </w:r>
    </w:p>
    <w:p w14:paraId="6FFA1B53"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75580" cy="2533650"/>
            <wp:effectExtent l="0" t="0" r="1270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A1999">
      <w:pPr>
        <w:widowControl/>
        <w:spacing w:line="500" w:lineRule="exact"/>
        <w:ind w:firstLine="560" w:firstLineChars="200"/>
        <w:rPr>
          <w:rFonts w:ascii="Times New Roman" w:hAnsi="Times New Roman" w:eastAsia="仿宋_GB2312"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 w:eastAsia="仿宋_GB2312"/>
          <w:color w:val="000000"/>
          <w:kern w:val="0"/>
          <w:sz w:val="28"/>
          <w:szCs w:val="28"/>
          <w:lang w:bidi="ar"/>
        </w:rPr>
        <w:t>在线自评需完成三个模块的内容填写，包括企业基本信息、数字化能力水平评估、数字化成效评估，填写完成后将会生成评估结果。填写过程中，可以返回上一题或上一环节进行修改，也可临时保存（关闭后返回可继续填报），点击下一题或下一环节可继续填写。填写完成后，点击提交完成在线自评，即可生成评估结果。</w:t>
      </w:r>
    </w:p>
    <w:p w14:paraId="7D029ED4">
      <w:pPr>
        <w:widowControl/>
        <w:spacing w:line="360" w:lineRule="auto"/>
        <w:rPr>
          <w:rFonts w:ascii="Times New Roman" w:hAnsi="Times New Roman" w:eastAsia="仿宋_GB2312"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114300" distR="114300">
            <wp:extent cx="5276850" cy="2226945"/>
            <wp:effectExtent l="0" t="0" r="11430" b="1333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078D">
      <w:pPr>
        <w:pStyle w:val="5"/>
        <w:numPr>
          <w:ilvl w:val="0"/>
          <w:numId w:val="0"/>
        </w:numPr>
        <w:spacing w:before="0" w:beforeAutospacing="0" w:after="0" w:afterAutospacing="0" w:line="500" w:lineRule="exact"/>
        <w:ind w:left="575" w:hanging="575"/>
        <w:rPr>
          <w:rFonts w:hint="default" w:ascii="Times New Roman" w:hAnsi="Times New Roman" w:eastAsia="仿宋_GB2312"/>
          <w:sz w:val="28"/>
          <w:szCs w:val="28"/>
        </w:rPr>
      </w:pPr>
      <w:bookmarkStart w:id="26" w:name="_Toc15026840"/>
      <w:bookmarkEnd w:id="26"/>
      <w:bookmarkStart w:id="27" w:name="_Toc6302"/>
      <w:bookmarkEnd w:id="27"/>
      <w:bookmarkStart w:id="28" w:name="_Toc13068839"/>
      <w:bookmarkEnd w:id="28"/>
      <w:bookmarkStart w:id="29" w:name="_Toc25016"/>
      <w:bookmarkEnd w:id="29"/>
      <w:bookmarkStart w:id="30" w:name="_Toc181267967"/>
      <w:r>
        <w:rPr>
          <w:rFonts w:hint="default" w:ascii="Times New Roman" w:hAnsi="Times New Roman" w:eastAsia="宋体"/>
          <w:sz w:val="28"/>
          <w:szCs w:val="28"/>
        </w:rPr>
        <w:t>2.4.</w:t>
      </w:r>
      <w:r>
        <w:rPr>
          <w:rFonts w:hint="default" w:ascii="Times New Roman" w:hAnsi="Times New Roman" w:eastAsia="仿宋_GB2312"/>
          <w:sz w:val="28"/>
          <w:szCs w:val="28"/>
        </w:rPr>
        <w:t>评估档案</w:t>
      </w:r>
      <w:bookmarkEnd w:id="30"/>
    </w:p>
    <w:p w14:paraId="5EA7B782">
      <w:pPr>
        <w:widowControl/>
        <w:spacing w:line="500" w:lineRule="exact"/>
        <w:ind w:firstLine="560" w:firstLineChars="200"/>
        <w:rPr>
          <w:rFonts w:ascii="Times New Roman" w:hAnsi="Times New Roman" w:eastAsia="仿宋_GB2312"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 w:eastAsia="仿宋_GB2312"/>
          <w:color w:val="000000"/>
          <w:kern w:val="0"/>
          <w:sz w:val="28"/>
          <w:szCs w:val="28"/>
          <w:lang w:bidi="ar"/>
        </w:rPr>
        <w:t>点击评估档案，可对已填报数据进行查看。该模块展示企业基本信息及填报问题详情。</w:t>
      </w:r>
    </w:p>
    <w:p w14:paraId="54B9F6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114300" distR="114300">
            <wp:extent cx="5274945" cy="2597150"/>
            <wp:effectExtent l="0" t="0" r="1333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AD2C2">
      <w:pPr>
        <w:rPr>
          <w:rFonts w:ascii="Times New Roman" w:hAnsi="Times New Roman"/>
          <w:sz w:val="28"/>
          <w:szCs w:val="28"/>
        </w:rPr>
      </w:pPr>
    </w:p>
    <w:p w14:paraId="4E140C38">
      <w:pPr>
        <w:rPr>
          <w:rFonts w:ascii="Times New Roman" w:hAnsi="Times New Roman"/>
          <w:sz w:val="28"/>
          <w:szCs w:val="28"/>
        </w:rPr>
      </w:pPr>
    </w:p>
    <w:p w14:paraId="148856C4">
      <w:pPr>
        <w:pStyle w:val="5"/>
        <w:numPr>
          <w:ilvl w:val="0"/>
          <w:numId w:val="0"/>
        </w:numPr>
        <w:spacing w:before="0" w:beforeAutospacing="0" w:after="0" w:afterAutospacing="0" w:line="500" w:lineRule="exact"/>
        <w:ind w:left="575" w:hanging="575"/>
        <w:rPr>
          <w:rFonts w:hint="default" w:ascii="Times New Roman" w:hAnsi="Times New Roman" w:eastAsia="仿宋_GB2312"/>
          <w:sz w:val="28"/>
          <w:szCs w:val="28"/>
        </w:rPr>
      </w:pPr>
      <w:bookmarkStart w:id="31" w:name="_Toc181267968"/>
      <w:r>
        <w:rPr>
          <w:rFonts w:hint="default" w:ascii="Times New Roman" w:hAnsi="Times New Roman" w:eastAsia="宋体"/>
          <w:sz w:val="28"/>
          <w:szCs w:val="28"/>
        </w:rPr>
        <w:t>2.5.</w:t>
      </w:r>
      <w:r>
        <w:rPr>
          <w:rFonts w:hint="default" w:ascii="Times New Roman" w:hAnsi="Times New Roman" w:eastAsia="仿宋_GB2312"/>
          <w:sz w:val="28"/>
          <w:szCs w:val="28"/>
        </w:rPr>
        <w:t>企业信息及填报历史记录查看</w:t>
      </w:r>
      <w:bookmarkEnd w:id="31"/>
    </w:p>
    <w:p w14:paraId="6294F004">
      <w:pPr>
        <w:widowControl/>
        <w:spacing w:line="500" w:lineRule="exact"/>
        <w:ind w:firstLine="560" w:firstLineChars="200"/>
        <w:rPr>
          <w:rFonts w:ascii="Times New Roman" w:hAnsi="Times New Roman" w:eastAsia="仿宋_GB2312"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 w:eastAsia="仿宋_GB2312"/>
          <w:color w:val="000000"/>
          <w:kern w:val="0"/>
          <w:sz w:val="28"/>
          <w:szCs w:val="28"/>
          <w:lang w:bidi="ar"/>
        </w:rPr>
        <w:t>点击右上角头像，进入企业信息，可对企业信息进行查看和修改。</w:t>
      </w:r>
    </w:p>
    <w:p w14:paraId="57C7142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114300" distR="114300">
            <wp:extent cx="3690620" cy="2314575"/>
            <wp:effectExtent l="0" t="0" r="12700" b="1905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9062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AC038">
      <w:pPr>
        <w:widowControl/>
        <w:spacing w:line="360" w:lineRule="auto"/>
        <w:ind w:firstLine="560" w:firstLineChars="200"/>
        <w:rPr>
          <w:rFonts w:ascii="Times New Roman" w:hAnsi="Times New Roman" w:eastAsia="仿宋_GB2312"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 w:eastAsia="仿宋_GB2312"/>
          <w:color w:val="000000"/>
          <w:kern w:val="0"/>
          <w:sz w:val="28"/>
          <w:szCs w:val="28"/>
          <w:lang w:bidi="ar"/>
        </w:rPr>
        <w:t>点击右上角头像，进入企业填报历史，可对企业填报记录进行查看。</w:t>
      </w:r>
    </w:p>
    <w:p w14:paraId="2F1318D8">
      <w:pPr>
        <w:pStyle w:val="3"/>
        <w:spacing w:line="600" w:lineRule="exact"/>
        <w:ind w:left="0" w:leftChars="0"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黑体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675640</wp:posOffset>
            </wp:positionH>
            <wp:positionV relativeFrom="paragraph">
              <wp:posOffset>212090</wp:posOffset>
            </wp:positionV>
            <wp:extent cx="4083685" cy="3752215"/>
            <wp:effectExtent l="0" t="0" r="635" b="12065"/>
            <wp:wrapTight wrapText="bothSides">
              <wp:wrapPolygon>
                <wp:start x="0" y="0"/>
                <wp:lineTo x="0" y="21319"/>
                <wp:lineTo x="21362" y="21319"/>
                <wp:lineTo x="21362" y="0"/>
                <wp:lineTo x="0" y="0"/>
              </wp:wrapPolygon>
            </wp:wrapTight>
            <wp:docPr id="4" name="图片 5" descr="5ec7ceb9a6de0554bdb4237494599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5ec7ceb9a6de0554bdb4237494599a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0AE72D">
      <w:pPr>
        <w:pStyle w:val="3"/>
        <w:spacing w:line="600" w:lineRule="exact"/>
        <w:ind w:left="0" w:leftChars="0" w:firstLine="640" w:firstLineChars="200"/>
        <w:rPr>
          <w:rFonts w:ascii="Times New Roman" w:hAnsi="Times New Roman" w:eastAsia="仿宋_GB2312"/>
          <w:sz w:val="32"/>
          <w:szCs w:val="32"/>
        </w:rPr>
      </w:pPr>
    </w:p>
    <w:p w14:paraId="01D818DB">
      <w:pPr>
        <w:pStyle w:val="3"/>
        <w:spacing w:line="600" w:lineRule="exact"/>
        <w:ind w:left="0" w:leftChars="0"/>
        <w:rPr>
          <w:rFonts w:ascii="Times New Roman" w:hAnsi="Times New Roman" w:eastAsia="黑体"/>
          <w:sz w:val="28"/>
          <w:szCs w:val="28"/>
        </w:rPr>
      </w:pPr>
    </w:p>
    <w:p w14:paraId="585F0E41">
      <w:pPr>
        <w:pStyle w:val="3"/>
        <w:spacing w:line="600" w:lineRule="exact"/>
        <w:ind w:left="0" w:leftChars="0"/>
        <w:rPr>
          <w:rFonts w:ascii="Times New Roman" w:hAnsi="Times New Roman" w:eastAsia="黑体"/>
          <w:sz w:val="28"/>
          <w:szCs w:val="28"/>
        </w:rPr>
      </w:pPr>
    </w:p>
    <w:p w14:paraId="4A5B268E">
      <w:pPr>
        <w:pStyle w:val="3"/>
        <w:spacing w:line="600" w:lineRule="exact"/>
        <w:ind w:left="0" w:leftChars="0"/>
        <w:rPr>
          <w:rFonts w:ascii="Times New Roman" w:hAnsi="Times New Roman" w:eastAsia="黑体"/>
          <w:sz w:val="28"/>
          <w:szCs w:val="28"/>
        </w:rPr>
      </w:pPr>
    </w:p>
    <w:p w14:paraId="4A903B90">
      <w:pPr>
        <w:pStyle w:val="3"/>
        <w:spacing w:line="600" w:lineRule="exact"/>
        <w:ind w:left="0" w:leftChars="0"/>
        <w:rPr>
          <w:rFonts w:ascii="Times New Roman" w:hAnsi="Times New Roman" w:eastAsia="黑体"/>
          <w:sz w:val="28"/>
          <w:szCs w:val="28"/>
        </w:rPr>
      </w:pPr>
    </w:p>
    <w:p w14:paraId="7590ABCC">
      <w:pPr>
        <w:pStyle w:val="3"/>
        <w:spacing w:line="600" w:lineRule="exact"/>
        <w:ind w:left="0" w:leftChars="0"/>
        <w:rPr>
          <w:rFonts w:ascii="Times New Roman" w:hAnsi="Times New Roman" w:eastAsia="黑体"/>
          <w:sz w:val="28"/>
          <w:szCs w:val="28"/>
        </w:rPr>
      </w:pPr>
    </w:p>
    <w:p w14:paraId="6940E1B6">
      <w:pPr>
        <w:pStyle w:val="3"/>
        <w:spacing w:line="600" w:lineRule="exact"/>
        <w:ind w:left="0" w:leftChars="0"/>
        <w:rPr>
          <w:rFonts w:ascii="Times New Roman" w:hAnsi="Times New Roman" w:eastAsia="黑体"/>
          <w:sz w:val="28"/>
          <w:szCs w:val="28"/>
        </w:rPr>
      </w:pPr>
    </w:p>
    <w:p w14:paraId="76934A98">
      <w:pPr>
        <w:pStyle w:val="3"/>
        <w:spacing w:line="600" w:lineRule="exact"/>
        <w:ind w:left="0" w:leftChars="0"/>
        <w:rPr>
          <w:rFonts w:ascii="Times New Roman" w:hAnsi="Times New Roman" w:eastAsia="黑体"/>
          <w:sz w:val="28"/>
          <w:szCs w:val="28"/>
        </w:rPr>
      </w:pPr>
    </w:p>
    <w:p w14:paraId="07B8106F">
      <w:pPr>
        <w:pStyle w:val="3"/>
        <w:spacing w:line="600" w:lineRule="exact"/>
        <w:ind w:left="0" w:leftChars="0"/>
        <w:rPr>
          <w:rFonts w:ascii="Times New Roman" w:hAnsi="Times New Roman" w:eastAsia="黑体"/>
          <w:sz w:val="28"/>
          <w:szCs w:val="28"/>
        </w:rPr>
      </w:pPr>
    </w:p>
    <w:p w14:paraId="6810C5A8">
      <w:pPr>
        <w:pStyle w:val="3"/>
        <w:spacing w:line="600" w:lineRule="exact"/>
        <w:ind w:left="0" w:leftChars="0"/>
        <w:rPr>
          <w:rFonts w:ascii="Times New Roman" w:hAnsi="Times New Roman" w:eastAsia="黑体"/>
          <w:sz w:val="28"/>
          <w:szCs w:val="28"/>
        </w:rPr>
      </w:pPr>
    </w:p>
    <w:p w14:paraId="4773B8C5">
      <w:pPr>
        <w:pStyle w:val="3"/>
        <w:spacing w:line="600" w:lineRule="exact"/>
        <w:ind w:left="0" w:leftChars="0"/>
        <w:rPr>
          <w:rFonts w:ascii="Times New Roman" w:hAnsi="Times New Roman" w:eastAsia="黑体"/>
          <w:sz w:val="32"/>
          <w:szCs w:val="40"/>
        </w:rPr>
      </w:pPr>
    </w:p>
    <w:p w14:paraId="17DC77B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88AC30">
    <w:pPr>
      <w:pStyle w:val="7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922CCB">
                          <w:pPr>
                            <w:pStyle w:val="7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xPRNfsgBAACZAwAADgAAAGRycy9lMm9Eb2MueG1srVPNjtMwEL4j8Q6W&#10;79TZHtgqarpaVC1CQoC08ACuYzeW/CeP26QvAG/AiQt3nqvPwdhJusty2cNenPHM+Jv5vpmsbwZr&#10;yFFG0N419GpRUSKd8K12+4Z++3r3ZkUJJO5abryTDT1JoDeb16/Wfajl0nfetDISBHFQ96GhXUqh&#10;ZgxEJy2HhQ/SYVD5aHnCa9yzNvIe0a1hy6p6y3of2xC9kADo3Y5BOiHG5wB6pbSQWy8OVro0okZp&#10;eEJK0OkAdFO6VUqK9FkpkImYhiLTVE4sgvYun2yz5vU+8tBpMbXAn9PCE06Wa4dFL1Bbnjg5RP0f&#10;lNUievAqLYS3bCRSFEEWV9UTbe47HmThglJDuIgOLwcrPh2/RKLbhl5T4rjFgZ9//jj/+nP+/Z1c&#10;Z3n6ADVm3QfMS8M7P+DSzH5AZ2Y9qGjzF/kQjKO4p4u4ckhE5Eer5WpVYUhgbL4gPnt4HiKk99Jb&#10;ko2GRpxeEZUfP0IaU+eUXM35O21MmaBx/zgQM3tY7n3sMVtp2A0ToZ1vT8inx8E31OGeU2I+ONQ1&#10;78hsxNnYzcYhRL3vyhLlehBuDwmbKL3lCiPsVBgnVthN25VX4vG9ZD38UZu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MT0TX7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8922CCB">
                    <w:pPr>
                      <w:pStyle w:val="7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 w14:paraId="5DEEBFEA"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C03C6B7"/>
    <w:multiLevelType w:val="multilevel"/>
    <w:tmpl w:val="BC03C6B7"/>
    <w:lvl w:ilvl="0" w:tentative="0">
      <w:start w:val="1"/>
      <w:numFmt w:val="decimal"/>
      <w:pStyle w:val="4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5"/>
      <w:lvlText w:val="%1.%2."/>
      <w:lvlJc w:val="left"/>
      <w:pPr>
        <w:ind w:left="575" w:hanging="575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E1MjU4YmE5OGRlOTQ2MTk5NGQ5MzBiNjM4MmFlZjcifQ=="/>
  </w:docVars>
  <w:rsids>
    <w:rsidRoot w:val="033E522E"/>
    <w:rsid w:val="033E522E"/>
    <w:rsid w:val="0CBD0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numPr>
        <w:ilvl w:val="0"/>
        <w:numId w:val="1"/>
      </w:numPr>
      <w:spacing w:before="100" w:beforeAutospacing="1" w:after="100" w:afterAutospacing="1"/>
      <w:ind w:left="432" w:hanging="432"/>
      <w:jc w:val="left"/>
      <w:outlineLvl w:val="0"/>
    </w:pPr>
    <w:rPr>
      <w:rFonts w:hint="eastAsia" w:ascii="宋体" w:hAnsi="宋体"/>
      <w:b/>
      <w:kern w:val="44"/>
      <w:sz w:val="36"/>
      <w:szCs w:val="48"/>
    </w:rPr>
  </w:style>
  <w:style w:type="paragraph" w:styleId="5">
    <w:name w:val="heading 2"/>
    <w:basedOn w:val="1"/>
    <w:next w:val="1"/>
    <w:qFormat/>
    <w:uiPriority w:val="0"/>
    <w:pPr>
      <w:numPr>
        <w:ilvl w:val="1"/>
        <w:numId w:val="1"/>
      </w:numPr>
      <w:spacing w:before="100" w:beforeAutospacing="1" w:after="100" w:afterAutospacing="1"/>
      <w:jc w:val="left"/>
      <w:outlineLvl w:val="1"/>
    </w:pPr>
    <w:rPr>
      <w:rFonts w:hint="eastAsia" w:ascii="宋体" w:hAnsi="宋体"/>
      <w:b/>
      <w:kern w:val="0"/>
      <w:sz w:val="32"/>
      <w:szCs w:val="36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unhideWhenUsed/>
    <w:qFormat/>
    <w:uiPriority w:val="0"/>
    <w:pPr>
      <w:spacing w:after="120"/>
    </w:pPr>
  </w:style>
  <w:style w:type="paragraph" w:styleId="3">
    <w:name w:val="toc 5"/>
    <w:basedOn w:val="1"/>
    <w:next w:val="1"/>
    <w:qFormat/>
    <w:uiPriority w:val="0"/>
    <w:pPr>
      <w:ind w:left="1680" w:leftChars="800"/>
    </w:pPr>
  </w:style>
  <w:style w:type="paragraph" w:styleId="6">
    <w:name w:val="index 5"/>
    <w:basedOn w:val="1"/>
    <w:next w:val="1"/>
    <w:qFormat/>
    <w:uiPriority w:val="0"/>
    <w:pPr>
      <w:ind w:left="800" w:leftChars="800"/>
    </w:pPr>
    <w:rPr>
      <w:rFonts w:ascii="Times New Roman" w:hAnsi="Times New Roman" w:eastAsia="宋体" w:cs="Times New Roman"/>
    </w:rPr>
  </w:style>
  <w:style w:type="paragraph" w:styleId="7">
    <w:name w:val="footer"/>
    <w:basedOn w:val="1"/>
    <w:next w:val="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toc 1"/>
    <w:basedOn w:val="1"/>
    <w:next w:val="1"/>
    <w:qFormat/>
    <w:uiPriority w:val="39"/>
    <w:pPr>
      <w:spacing w:before="240" w:after="120"/>
      <w:jc w:val="left"/>
    </w:pPr>
    <w:rPr>
      <w:rFonts w:ascii="仿宋" w:hAnsi="仿宋" w:eastAsia="仿宋" w:cs="黑体"/>
      <w:b/>
      <w:bCs/>
      <w:sz w:val="32"/>
      <w:szCs w:val="20"/>
    </w:rPr>
  </w:style>
  <w:style w:type="paragraph" w:styleId="9">
    <w:name w:val="toc 2"/>
    <w:basedOn w:val="1"/>
    <w:next w:val="1"/>
    <w:qFormat/>
    <w:uiPriority w:val="39"/>
    <w:pPr>
      <w:spacing w:before="120"/>
      <w:ind w:left="280"/>
      <w:jc w:val="left"/>
    </w:pPr>
    <w:rPr>
      <w:rFonts w:ascii="仿宋" w:hAnsi="仿宋" w:eastAsia="仿宋" w:cs="黑体"/>
      <w:iCs/>
      <w:sz w:val="32"/>
      <w:szCs w:val="20"/>
    </w:rPr>
  </w:style>
  <w:style w:type="character" w:styleId="12">
    <w:name w:val="Hyperlink"/>
    <w:qFormat/>
    <w:uiPriority w:val="0"/>
    <w:rPr>
      <w:rFonts w:ascii="Times New Roman" w:hAnsi="Times New Roman" w:eastAsia="宋体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Office_12.8.2.18606_F1E327BC-269C-435d-A152-05C5408002CA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2025-02-19T08:01:00Z</dcterms:created>
  <dc:creator>杨祖德</dc:creator>
  <cp:lastModifiedBy>陈琼芬（非）</cp:lastModifiedBy>
  <dcterms:modified xsi:type="dcterms:W3CDTF">2025-06-20T09:46:24Z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2052-12.8.2.18606</vt:lpwstr>
  </property>
  <property fmtid="{D5CDD505-2E9C-101B-9397-08002B2CF9AE}" pid="3" name="ICV">
    <vt:lpwstr>1F4F6D3619CC47F0B68BED97AF38128C_11</vt:lpwstr>
  </property>
</Properties>
</file>