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CE84C0">
      <w:pPr>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5</w:t>
      </w:r>
    </w:p>
    <w:p w14:paraId="0949C170">
      <w:pPr>
        <w:jc w:val="center"/>
        <w:rPr>
          <w:rFonts w:hint="eastAsia" w:ascii="方正小标宋简体" w:hAnsi="方正小标宋简体" w:eastAsia="方正小标宋简体"/>
          <w:sz w:val="44"/>
          <w:szCs w:val="44"/>
        </w:rPr>
      </w:pPr>
      <w:r>
        <w:rPr>
          <w:rFonts w:hint="eastAsia" w:ascii="方正小标宋简体" w:hAnsi="方正小标宋简体" w:eastAsia="方正小标宋简体"/>
          <w:sz w:val="44"/>
          <w:szCs w:val="44"/>
        </w:rPr>
        <w:t>两化融合典型案例申报要求</w:t>
      </w:r>
    </w:p>
    <w:p w14:paraId="7B049C31">
      <w:pPr>
        <w:ind w:firstLine="707" w:firstLineChars="221"/>
        <w:jc w:val="both"/>
        <w:rPr>
          <w:rFonts w:hint="eastAsia" w:ascii="仿宋_GB2312" w:hAnsi="仿宋" w:eastAsia="仿宋_GB2312"/>
          <w:sz w:val="32"/>
          <w:szCs w:val="32"/>
        </w:rPr>
      </w:pPr>
      <w:r>
        <w:rPr>
          <w:rFonts w:hint="eastAsia" w:ascii="仿宋_GB2312" w:hAnsi="仿宋" w:eastAsia="仿宋_GB2312"/>
          <w:sz w:val="32"/>
          <w:szCs w:val="32"/>
        </w:rPr>
        <w:t>为深入贯彻落实习近平总书记关于信息化和工业化深度融合的重要指示精神，以融合促创新、以融合促发展，不断塑造发展新动能新优势，现组织开展 2025年两化融合典型案例征集工作。</w:t>
      </w:r>
    </w:p>
    <w:p w14:paraId="537B08F1">
      <w:pPr>
        <w:ind w:firstLine="710" w:firstLineChars="221"/>
        <w:rPr>
          <w:rFonts w:hint="eastAsia" w:ascii="黑体" w:hAnsi="黑体" w:eastAsia="黑体"/>
          <w:b/>
          <w:bCs/>
          <w:sz w:val="32"/>
          <w:szCs w:val="32"/>
        </w:rPr>
      </w:pPr>
      <w:r>
        <w:rPr>
          <w:rFonts w:hint="eastAsia" w:ascii="黑体" w:hAnsi="黑体" w:eastAsia="黑体"/>
          <w:b/>
          <w:bCs/>
          <w:sz w:val="32"/>
          <w:szCs w:val="32"/>
        </w:rPr>
        <w:t>一、征集内容</w:t>
      </w:r>
    </w:p>
    <w:p w14:paraId="33D467C2">
      <w:pPr>
        <w:ind w:firstLine="707" w:firstLineChars="221"/>
        <w:jc w:val="both"/>
        <w:rPr>
          <w:rFonts w:hint="eastAsia" w:ascii="仿宋_GB2312" w:hAnsi="仿宋" w:eastAsia="仿宋_GB2312"/>
          <w:sz w:val="32"/>
          <w:szCs w:val="32"/>
        </w:rPr>
      </w:pPr>
      <w:r>
        <w:rPr>
          <w:rFonts w:hint="eastAsia" w:ascii="仿宋_GB2312" w:hAnsi="仿宋" w:eastAsia="仿宋_GB2312"/>
          <w:sz w:val="32"/>
          <w:szCs w:val="32"/>
        </w:rPr>
        <w:t>以两化融合发展为主题，围绕数字领航企业、数字化供应链、工业互联网平台创新应用、通用数字化工具产品、重点行业数字化场景等方向，遴选一批融合水平高、创新能力突出、实施效果显著、带动作用强的典型案例，为加快发展新质生产力、推进新型工业化提供有力支撑。</w:t>
      </w:r>
    </w:p>
    <w:p w14:paraId="609E91DD">
      <w:pPr>
        <w:ind w:firstLine="710" w:firstLineChars="221"/>
        <w:rPr>
          <w:rFonts w:hint="eastAsia" w:ascii="仿宋_GB2312" w:hAnsi="仿宋" w:eastAsia="仿宋_GB2312"/>
          <w:b/>
          <w:bCs/>
          <w:sz w:val="32"/>
          <w:szCs w:val="32"/>
        </w:rPr>
      </w:pPr>
      <w:r>
        <w:rPr>
          <w:rFonts w:hint="eastAsia" w:ascii="仿宋_GB2312" w:hAnsi="仿宋" w:eastAsia="仿宋_GB2312"/>
          <w:b/>
          <w:bCs/>
          <w:sz w:val="32"/>
          <w:szCs w:val="32"/>
        </w:rPr>
        <w:t>（一）数字领航企业。</w:t>
      </w:r>
      <w:r>
        <w:rPr>
          <w:rFonts w:hint="eastAsia" w:ascii="仿宋_GB2312" w:hAnsi="仿宋" w:eastAsia="仿宋_GB2312"/>
          <w:sz w:val="32"/>
          <w:szCs w:val="32"/>
        </w:rPr>
        <w:t>面向制造业优质企业，结合当前大模型、数字孪生、人形机器人等前沿技术发展趋势，在大企业、中小企业两个维度，遴选一批在 AI融合创新、智能决策优化、数字生态构建等方面表现突出的数字领航企业典型案例。通过打造“技术引领+场景驱动”双轮示范模式，提供可复制的智能化转型方法论和行业解决方案，加速制造业整体数字化跃迁。</w:t>
      </w:r>
    </w:p>
    <w:p w14:paraId="1BD96459">
      <w:pPr>
        <w:ind w:firstLine="710" w:firstLineChars="221"/>
        <w:rPr>
          <w:rFonts w:hint="eastAsia" w:ascii="仿宋_GB2312" w:hAnsi="仿宋" w:eastAsia="仿宋_GB2312"/>
          <w:sz w:val="32"/>
          <w:szCs w:val="32"/>
        </w:rPr>
      </w:pPr>
      <w:r>
        <w:rPr>
          <w:rFonts w:hint="eastAsia" w:ascii="仿宋_GB2312" w:hAnsi="仿宋" w:eastAsia="仿宋_GB2312"/>
          <w:b/>
          <w:bCs/>
          <w:sz w:val="32"/>
          <w:szCs w:val="32"/>
        </w:rPr>
        <w:t>（二）数字化供应链。</w:t>
      </w:r>
      <w:r>
        <w:rPr>
          <w:rFonts w:hint="eastAsia" w:ascii="仿宋_GB2312" w:hAnsi="仿宋" w:eastAsia="仿宋_GB2312"/>
          <w:sz w:val="32"/>
          <w:szCs w:val="32"/>
        </w:rPr>
        <w:t>面向培育数字化生态的供应链上下游，聚焦数字化供应链生态上下游业务协同水平不高、全链条数据贯通难度大、系统解决方案供给不足等问题，在数字化供应链场景突破、数字化供应链服务创新、数字化供应链融通转型等方向，遴选一批数字化供应链典型案例。通过提炼总结数字化供应链建设的优秀经验，为企业开展数字化供应链建设提供指引和参考。</w:t>
      </w:r>
    </w:p>
    <w:p w14:paraId="67DACDE8">
      <w:pPr>
        <w:ind w:firstLine="710" w:firstLineChars="221"/>
        <w:rPr>
          <w:rFonts w:hint="eastAsia" w:ascii="仿宋_GB2312" w:hAnsi="仿宋" w:eastAsia="仿宋_GB2312"/>
          <w:sz w:val="32"/>
          <w:szCs w:val="32"/>
        </w:rPr>
      </w:pPr>
      <w:r>
        <w:rPr>
          <w:rFonts w:hint="eastAsia" w:ascii="仿宋_GB2312" w:hAnsi="仿宋" w:eastAsia="仿宋_GB2312"/>
          <w:b/>
          <w:bCs/>
          <w:sz w:val="32"/>
          <w:szCs w:val="32"/>
        </w:rPr>
        <w:t>（三）工业互联网平台创新应用。</w:t>
      </w:r>
      <w:r>
        <w:rPr>
          <w:rFonts w:hint="eastAsia" w:ascii="仿宋_GB2312" w:hAnsi="仿宋" w:eastAsia="仿宋_GB2312"/>
          <w:sz w:val="32"/>
          <w:szCs w:val="32"/>
        </w:rPr>
        <w:t>围绕创新链、产业链、资金链、人才链等方向，征集一批工业互联网平台创新应用典型案例，促进创新资源优化配置、要素资源流通利用、价值链各环节高效协同发展，加快推动新一代信息技术在全链条的普及应用。</w:t>
      </w:r>
    </w:p>
    <w:p w14:paraId="6A681F94">
      <w:pPr>
        <w:ind w:firstLine="710" w:firstLineChars="221"/>
        <w:rPr>
          <w:rFonts w:hint="eastAsia" w:ascii="仿宋_GB2312" w:hAnsi="仿宋" w:eastAsia="仿宋_GB2312"/>
          <w:sz w:val="32"/>
          <w:szCs w:val="32"/>
        </w:rPr>
      </w:pPr>
      <w:r>
        <w:rPr>
          <w:rFonts w:hint="eastAsia" w:ascii="仿宋_GB2312" w:hAnsi="仿宋" w:eastAsia="仿宋_GB2312"/>
          <w:b/>
          <w:bCs/>
          <w:sz w:val="32"/>
          <w:szCs w:val="32"/>
        </w:rPr>
        <w:t>（四）通用数字化工具产品。</w:t>
      </w:r>
      <w:r>
        <w:rPr>
          <w:rFonts w:hint="eastAsia" w:ascii="仿宋_GB2312" w:hAnsi="仿宋" w:eastAsia="仿宋_GB2312"/>
          <w:sz w:val="32"/>
          <w:szCs w:val="32"/>
        </w:rPr>
        <w:t>聚焦数字化转型过程中数字化工具产品标准化程度较低、使用成本偏高、二次开发难度较大等问题，在数字化感知和检测工具、数字化专用装置、数字化“中间件”、数字化边缘节点、SaaS化企业管理软件、工业智能体、工厂“数字大脑”等方面，遴选一批普适化、标准化、智能化通用工具产品应用典型案例。通过构建低成本、轻配置、普适性的通用数字化工具产品矩阵，引导企业加快数字化转型。</w:t>
      </w:r>
    </w:p>
    <w:p w14:paraId="0F028E76">
      <w:pPr>
        <w:ind w:firstLine="710" w:firstLineChars="221"/>
        <w:rPr>
          <w:rFonts w:hint="eastAsia" w:ascii="仿宋_GB2312" w:hAnsi="仿宋" w:eastAsia="仿宋_GB2312"/>
          <w:b/>
          <w:bCs/>
          <w:sz w:val="32"/>
          <w:szCs w:val="32"/>
        </w:rPr>
      </w:pPr>
      <w:r>
        <w:rPr>
          <w:rFonts w:hint="eastAsia" w:ascii="仿宋_GB2312" w:hAnsi="仿宋" w:eastAsia="仿宋_GB2312"/>
          <w:b/>
          <w:bCs/>
          <w:sz w:val="32"/>
          <w:szCs w:val="32"/>
        </w:rPr>
        <w:t>（五）重点行业数字化场景。</w:t>
      </w:r>
      <w:r>
        <w:rPr>
          <w:rFonts w:hint="eastAsia" w:ascii="仿宋_GB2312" w:hAnsi="仿宋" w:eastAsia="仿宋_GB2312"/>
          <w:sz w:val="32"/>
          <w:szCs w:val="32"/>
        </w:rPr>
        <w:t>面向钢铁、石化、工程机械、新能源汽车、机器人、医疗装备、家电、制糖、白酒、美妆日化、锂电池、印制板（PCB）、智能移动终端、民爆等14个重点行业，聚焦行业面临的关键问题和共性痛点，以场景为切入点，围绕行业场景图谱和要素清单（包括工具软件、知识模型、数据要素、人才技能等数字化要素清单），遴选一批可复制、可推广的重点场景典型案例，为企业明确重点、理清路径提供指南与借鉴。</w:t>
      </w:r>
    </w:p>
    <w:p w14:paraId="105354E9">
      <w:pPr>
        <w:ind w:firstLine="710" w:firstLineChars="221"/>
        <w:rPr>
          <w:rFonts w:hint="eastAsia" w:ascii="黑体" w:hAnsi="黑体" w:eastAsia="黑体"/>
          <w:b/>
          <w:bCs/>
          <w:sz w:val="32"/>
          <w:szCs w:val="32"/>
        </w:rPr>
      </w:pPr>
      <w:r>
        <w:rPr>
          <w:rFonts w:hint="eastAsia" w:ascii="黑体" w:hAnsi="黑体" w:eastAsia="黑体"/>
          <w:b/>
          <w:bCs/>
          <w:sz w:val="32"/>
          <w:szCs w:val="32"/>
        </w:rPr>
        <w:t>二、申报条件</w:t>
      </w:r>
    </w:p>
    <w:p w14:paraId="37353234">
      <w:pPr>
        <w:ind w:firstLine="707" w:firstLineChars="221"/>
        <w:jc w:val="both"/>
        <w:rPr>
          <w:rFonts w:hint="eastAsia" w:ascii="仿宋_GB2312" w:hAnsi="仿宋" w:eastAsia="仿宋_GB2312"/>
          <w:sz w:val="32"/>
          <w:szCs w:val="32"/>
        </w:rPr>
      </w:pPr>
      <w:r>
        <w:rPr>
          <w:rFonts w:hint="eastAsia" w:ascii="仿宋_GB2312" w:hAnsi="仿宋" w:eastAsia="仿宋_GB2312"/>
          <w:sz w:val="32"/>
          <w:szCs w:val="32"/>
        </w:rPr>
        <w:t>（一）申报主体应在中华人民共和国境内注册，具备独立法人资格、较好的经济实力、较强的技术研发和融合创新能力，包括制造业企业和数字化供应商企业。原则上每个申报主体在每个方向只能申报 1个典型案例。</w:t>
      </w:r>
    </w:p>
    <w:p w14:paraId="134011F0">
      <w:pPr>
        <w:ind w:firstLine="707" w:firstLineChars="221"/>
        <w:jc w:val="both"/>
        <w:rPr>
          <w:rFonts w:hint="eastAsia" w:ascii="仿宋_GB2312" w:hAnsi="仿宋" w:eastAsia="仿宋_GB2312"/>
          <w:sz w:val="32"/>
          <w:szCs w:val="32"/>
        </w:rPr>
      </w:pPr>
      <w:r>
        <w:rPr>
          <w:rFonts w:hint="eastAsia" w:ascii="仿宋_GB2312" w:hAnsi="仿宋" w:eastAsia="仿宋_GB2312"/>
          <w:sz w:val="32"/>
          <w:szCs w:val="32"/>
        </w:rPr>
        <w:t>（二）申报主体近三年财务状况良好、无重大违法违规行为、未发生较大及以上生产安全事故和环境污染事故。</w:t>
      </w:r>
    </w:p>
    <w:p w14:paraId="4088FD31">
      <w:pPr>
        <w:ind w:firstLine="707" w:firstLineChars="221"/>
        <w:jc w:val="both"/>
        <w:rPr>
          <w:rFonts w:hint="eastAsia" w:ascii="仿宋_GB2312" w:hAnsi="仿宋" w:eastAsia="仿宋_GB2312"/>
          <w:sz w:val="32"/>
          <w:szCs w:val="32"/>
        </w:rPr>
      </w:pPr>
      <w:r>
        <w:rPr>
          <w:rFonts w:hint="eastAsia" w:ascii="仿宋_GB2312" w:hAnsi="仿宋" w:eastAsia="仿宋_GB2312"/>
          <w:sz w:val="32"/>
          <w:szCs w:val="32"/>
        </w:rPr>
        <w:t>（三）申报主体具备支撑两化融合的技术能力和产业影响力，在企业转型、供应链生态、平台应用、产品推广、产业升级等方面有可量化的经济效益或社会效益。</w:t>
      </w:r>
    </w:p>
    <w:p w14:paraId="2A4D8AF7">
      <w:pPr>
        <w:ind w:firstLine="707" w:firstLineChars="221"/>
        <w:jc w:val="both"/>
        <w:rPr>
          <w:rFonts w:hint="eastAsia" w:ascii="仿宋_GB2312" w:hAnsi="仿宋" w:eastAsia="仿宋_GB2312"/>
          <w:sz w:val="32"/>
          <w:szCs w:val="32"/>
        </w:rPr>
      </w:pPr>
      <w:r>
        <w:rPr>
          <w:rFonts w:hint="eastAsia" w:ascii="仿宋_GB2312" w:hAnsi="仿宋" w:eastAsia="仿宋_GB2312"/>
          <w:sz w:val="32"/>
          <w:szCs w:val="32"/>
        </w:rPr>
        <w:t>（四）案例须主题明确、重点突出、逻辑清晰、材料真实，具有较强的借鉴意义。</w:t>
      </w:r>
    </w:p>
    <w:p w14:paraId="336CBFB1">
      <w:pPr>
        <w:ind w:firstLine="710" w:firstLineChars="221"/>
        <w:rPr>
          <w:rFonts w:hint="eastAsia" w:ascii="黑体" w:hAnsi="黑体" w:eastAsia="黑体"/>
          <w:b/>
          <w:bCs/>
          <w:sz w:val="32"/>
          <w:szCs w:val="32"/>
        </w:rPr>
      </w:pPr>
      <w:r>
        <w:rPr>
          <w:rFonts w:hint="eastAsia" w:ascii="黑体" w:hAnsi="黑体" w:eastAsia="黑体"/>
          <w:b/>
          <w:bCs/>
          <w:sz w:val="32"/>
          <w:szCs w:val="32"/>
        </w:rPr>
        <w:t>三、征集程序</w:t>
      </w:r>
    </w:p>
    <w:p w14:paraId="77F31CEB">
      <w:pPr>
        <w:ind w:firstLine="710" w:firstLineChars="221"/>
        <w:jc w:val="both"/>
        <w:rPr>
          <w:rFonts w:hint="eastAsia" w:ascii="仿宋_GB2312" w:hAnsi="仿宋" w:eastAsia="仿宋_GB2312"/>
          <w:sz w:val="32"/>
          <w:szCs w:val="32"/>
        </w:rPr>
      </w:pPr>
      <w:r>
        <w:rPr>
          <w:rFonts w:hint="eastAsia" w:ascii="仿宋_GB2312" w:hAnsi="仿宋_GB2312" w:eastAsia="仿宋_GB2312" w:cs="仿宋_GB2312"/>
          <w:b/>
          <w:bCs/>
          <w:sz w:val="32"/>
          <w:szCs w:val="32"/>
          <w:lang w:eastAsia="zh-CN"/>
        </w:rPr>
        <w:t>（一）材料申报。</w:t>
      </w:r>
      <w:r>
        <w:rPr>
          <w:rFonts w:hint="eastAsia" w:ascii="仿宋_GB2312" w:hAnsi="仿宋" w:eastAsia="仿宋_GB2312"/>
          <w:sz w:val="32"/>
          <w:szCs w:val="32"/>
        </w:rPr>
        <w:t>请各申报主体于2025年12月10日17:00前，根据《2025年两化融合典型案例要素条件》选择申报方向，填写《2025年两化融合典型案例申报书》（要素条件和案例申报书可通</w:t>
      </w:r>
      <w:r>
        <w:rPr>
          <w:rFonts w:hint="eastAsia" w:ascii="仿宋_GB2312" w:hAnsi="仿宋" w:eastAsia="仿宋_GB2312"/>
          <w:color w:val="auto"/>
          <w:sz w:val="32"/>
          <w:szCs w:val="32"/>
          <w:u w:val="none"/>
        </w:rPr>
        <w:t>过申报平台下载：</w:t>
      </w:r>
      <w:r>
        <w:rPr>
          <w:rFonts w:hint="eastAsia" w:ascii="仿宋_GB2312" w:hAnsi="仿宋" w:eastAsia="仿宋_GB2312"/>
          <w:color w:val="auto"/>
          <w:sz w:val="32"/>
          <w:szCs w:val="32"/>
          <w:u w:val="none"/>
        </w:rPr>
        <w:fldChar w:fldCharType="begin"/>
      </w:r>
      <w:r>
        <w:rPr>
          <w:rFonts w:hint="eastAsia" w:ascii="仿宋_GB2312" w:hAnsi="仿宋" w:eastAsia="仿宋_GB2312"/>
          <w:color w:val="auto"/>
          <w:sz w:val="32"/>
          <w:szCs w:val="32"/>
          <w:u w:val="none"/>
        </w:rPr>
        <w:instrText xml:space="preserve"> HYPERLINK "https://wenkuan.cii-contest.cn），进行线上申报。同时于2025年12月11日17:00前将纸质材料一式2份加盖公章，报送至厦门市软件行业协会，并将电子版材料（盖章扫描件和可编辑word版本）发送至指定邮箱mail@xmsia.cn。厦门市推荐项目原则上不超过40个，将根据申报情况择优推荐。" </w:instrText>
      </w:r>
      <w:r>
        <w:rPr>
          <w:rFonts w:hint="eastAsia" w:ascii="仿宋_GB2312" w:hAnsi="仿宋" w:eastAsia="仿宋_GB2312"/>
          <w:color w:val="auto"/>
          <w:sz w:val="32"/>
          <w:szCs w:val="32"/>
          <w:u w:val="none"/>
        </w:rPr>
        <w:fldChar w:fldCharType="separate"/>
      </w:r>
      <w:r>
        <w:rPr>
          <w:rStyle w:val="17"/>
          <w:rFonts w:hint="eastAsia" w:ascii="仿宋_GB2312" w:hAnsi="仿宋" w:eastAsia="仿宋_GB2312"/>
          <w:color w:val="auto"/>
          <w:sz w:val="32"/>
          <w:szCs w:val="32"/>
          <w:u w:val="none"/>
        </w:rPr>
        <w:t>https://wenjuan.cii-contest.cn/index/login/index.html</w:t>
      </w:r>
      <w:bookmarkStart w:id="0" w:name="_GoBack"/>
      <w:bookmarkEnd w:id="0"/>
      <w:r>
        <w:rPr>
          <w:rStyle w:val="17"/>
          <w:rFonts w:hint="eastAsia" w:ascii="仿宋_GB2312" w:hAnsi="仿宋" w:eastAsia="仿宋_GB2312"/>
          <w:color w:val="auto"/>
          <w:sz w:val="32"/>
          <w:szCs w:val="32"/>
          <w:u w:val="none"/>
        </w:rPr>
        <w:t>），进行线上申报。同时于2025年12月11日17:00前将纸质材料一式2份加盖公章，报送至厦门市软件行业协会，并将电子版材料（盖章扫描件和可编辑word版本）发送至指定邮箱mail@xmsia.cn。厦门市推荐项目原则上不超过40个，将根据申报情况择优推荐。</w:t>
      </w:r>
      <w:r>
        <w:rPr>
          <w:rFonts w:hint="eastAsia" w:ascii="仿宋_GB2312" w:hAnsi="仿宋" w:eastAsia="仿宋_GB2312"/>
          <w:color w:val="auto"/>
          <w:sz w:val="32"/>
          <w:szCs w:val="32"/>
          <w:u w:val="none"/>
        </w:rPr>
        <w:fldChar w:fldCharType="end"/>
      </w:r>
    </w:p>
    <w:p w14:paraId="06D411D4">
      <w:pPr>
        <w:ind w:firstLine="710" w:firstLineChars="221"/>
        <w:jc w:val="both"/>
        <w:rPr>
          <w:rFonts w:hint="eastAsia" w:ascii="仿宋_GB2312" w:hAnsi="仿宋" w:eastAsia="仿宋_GB2312"/>
          <w:sz w:val="32"/>
          <w:szCs w:val="32"/>
        </w:rPr>
      </w:pPr>
      <w:r>
        <w:rPr>
          <w:rFonts w:hint="eastAsia" w:ascii="仿宋_GB2312" w:hAnsi="仿宋_GB2312" w:eastAsia="仿宋_GB2312" w:cs="仿宋_GB2312"/>
          <w:b/>
          <w:bCs/>
          <w:sz w:val="32"/>
          <w:szCs w:val="32"/>
          <w:lang w:eastAsia="zh-CN"/>
        </w:rPr>
        <w:t>（二）评审推广。</w:t>
      </w:r>
      <w:r>
        <w:rPr>
          <w:rFonts w:hint="eastAsia" w:ascii="仿宋_GB2312" w:hAnsi="仿宋" w:eastAsia="仿宋_GB2312"/>
          <w:sz w:val="32"/>
          <w:szCs w:val="32"/>
        </w:rPr>
        <w:t>工业和信息化部组织专家对征集案例进行评审，按程序公示、发布典型案例名单。对成效显著、示范效应良好的典型案例，按程序对外推广应用。</w:t>
      </w:r>
    </w:p>
    <w:p w14:paraId="25A71044">
      <w:pPr>
        <w:ind w:firstLine="710" w:firstLineChars="221"/>
        <w:jc w:val="both"/>
        <w:rPr>
          <w:rFonts w:hint="eastAsia" w:ascii="黑体" w:hAnsi="黑体" w:eastAsia="黑体"/>
          <w:b/>
          <w:bCs/>
          <w:sz w:val="32"/>
          <w:szCs w:val="32"/>
        </w:rPr>
      </w:pPr>
      <w:r>
        <w:rPr>
          <w:rFonts w:hint="eastAsia" w:ascii="黑体" w:hAnsi="黑体" w:eastAsia="黑体"/>
          <w:b/>
          <w:bCs/>
          <w:sz w:val="32"/>
          <w:szCs w:val="32"/>
        </w:rPr>
        <w:t>四、联系方式</w:t>
      </w:r>
    </w:p>
    <w:p w14:paraId="30CAC16D">
      <w:pPr>
        <w:spacing w:after="0" w:line="600" w:lineRule="exact"/>
        <w:ind w:firstLine="707" w:firstLineChars="221"/>
        <w:jc w:val="both"/>
        <w:rPr>
          <w:rFonts w:hint="eastAsia" w:ascii="仿宋_GB2312" w:hAnsi="黑体" w:eastAsia="仿宋_GB2312"/>
          <w:sz w:val="32"/>
          <w:szCs w:val="32"/>
        </w:rPr>
      </w:pPr>
      <w:r>
        <w:rPr>
          <w:rFonts w:hint="eastAsia" w:ascii="仿宋_GB2312" w:hAnsi="黑体" w:eastAsia="仿宋_GB2312"/>
          <w:sz w:val="32"/>
          <w:szCs w:val="32"/>
        </w:rPr>
        <w:t>厦门市工业和信息化局</w:t>
      </w:r>
    </w:p>
    <w:p w14:paraId="00DBDBD3">
      <w:pPr>
        <w:spacing w:after="0" w:line="600" w:lineRule="exact"/>
        <w:ind w:firstLine="707" w:firstLineChars="221"/>
        <w:jc w:val="both"/>
        <w:rPr>
          <w:rFonts w:hint="eastAsia" w:ascii="仿宋_GB2312" w:hAnsi="黑体" w:eastAsia="仿宋_GB2312"/>
          <w:sz w:val="32"/>
          <w:szCs w:val="32"/>
        </w:rPr>
      </w:pPr>
      <w:r>
        <w:rPr>
          <w:rFonts w:hint="eastAsia" w:ascii="仿宋_GB2312" w:hAnsi="黑体" w:eastAsia="仿宋_GB2312"/>
          <w:sz w:val="32"/>
          <w:szCs w:val="32"/>
        </w:rPr>
        <w:t>电话：0592-2896589、18559277356</w:t>
      </w:r>
    </w:p>
    <w:p w14:paraId="03148E53">
      <w:pPr>
        <w:spacing w:after="0" w:line="600" w:lineRule="exact"/>
        <w:ind w:firstLine="707" w:firstLineChars="221"/>
        <w:jc w:val="both"/>
        <w:rPr>
          <w:rFonts w:hint="eastAsia" w:ascii="仿宋_GB2312" w:hAnsi="黑体" w:eastAsia="仿宋_GB2312"/>
          <w:sz w:val="32"/>
          <w:szCs w:val="32"/>
        </w:rPr>
      </w:pPr>
      <w:r>
        <w:rPr>
          <w:rFonts w:hint="eastAsia" w:ascii="仿宋_GB2312" w:hAnsi="黑体" w:eastAsia="仿宋_GB2312"/>
          <w:sz w:val="32"/>
          <w:szCs w:val="32"/>
        </w:rPr>
        <w:t>厦门市软件行业协会（材料受理机构）</w:t>
      </w:r>
    </w:p>
    <w:p w14:paraId="155D6C99">
      <w:pPr>
        <w:spacing w:after="0" w:line="600" w:lineRule="exact"/>
        <w:ind w:firstLine="707" w:firstLineChars="221"/>
        <w:jc w:val="both"/>
        <w:rPr>
          <w:rFonts w:hint="eastAsia" w:ascii="仿宋_GB2312" w:hAnsi="黑体" w:eastAsia="仿宋_GB2312"/>
          <w:sz w:val="32"/>
          <w:szCs w:val="32"/>
        </w:rPr>
      </w:pPr>
      <w:r>
        <w:rPr>
          <w:rFonts w:hint="eastAsia" w:ascii="仿宋_GB2312" w:hAnsi="黑体" w:eastAsia="仿宋_GB2312"/>
          <w:sz w:val="32"/>
          <w:szCs w:val="32"/>
        </w:rPr>
        <w:t>电话：0592-2031328、0592-2136048</w:t>
      </w:r>
    </w:p>
    <w:p w14:paraId="28DFA440">
      <w:pPr>
        <w:spacing w:after="0" w:line="600" w:lineRule="exact"/>
        <w:ind w:firstLine="707" w:firstLineChars="221"/>
        <w:jc w:val="both"/>
        <w:rPr>
          <w:rFonts w:hint="eastAsia" w:ascii="仿宋_GB2312" w:hAnsi="仿宋" w:eastAsia="仿宋_GB2312"/>
          <w:sz w:val="32"/>
          <w:szCs w:val="32"/>
        </w:rPr>
      </w:pPr>
      <w:r>
        <w:rPr>
          <w:rFonts w:hint="eastAsia" w:ascii="仿宋_GB2312" w:hAnsi="黑体" w:eastAsia="仿宋_GB2312"/>
          <w:sz w:val="32"/>
          <w:szCs w:val="32"/>
        </w:rPr>
        <w:t>地址：思明区软件园二期观日路33号601室</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49E"/>
    <w:rsid w:val="0010385D"/>
    <w:rsid w:val="00196399"/>
    <w:rsid w:val="002B0F90"/>
    <w:rsid w:val="00313F05"/>
    <w:rsid w:val="003707AC"/>
    <w:rsid w:val="003B372F"/>
    <w:rsid w:val="004D1245"/>
    <w:rsid w:val="004D4A98"/>
    <w:rsid w:val="005D0C41"/>
    <w:rsid w:val="00642935"/>
    <w:rsid w:val="006E0FE0"/>
    <w:rsid w:val="007120F5"/>
    <w:rsid w:val="00AB4842"/>
    <w:rsid w:val="00B4301B"/>
    <w:rsid w:val="00C75377"/>
    <w:rsid w:val="00CE1233"/>
    <w:rsid w:val="00E25E50"/>
    <w:rsid w:val="00F02662"/>
    <w:rsid w:val="00F4449E"/>
    <w:rsid w:val="00FB5DFF"/>
    <w:rsid w:val="36FA5437"/>
    <w:rsid w:val="6DFFD05E"/>
    <w:rsid w:val="7EAF1652"/>
    <w:rsid w:val="7FFF11EC"/>
    <w:rsid w:val="DBF74E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3"/>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4"/>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6"/>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8"/>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styleId="17">
    <w:name w:val="Hyperlink"/>
    <w:basedOn w:val="16"/>
    <w:semiHidden/>
    <w:unhideWhenUsed/>
    <w:uiPriority w:val="99"/>
    <w:rPr>
      <w:color w:val="0000FF"/>
      <w:u w:val="single"/>
    </w:rPr>
  </w:style>
  <w:style w:type="character" w:customStyle="1" w:styleId="18">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9">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0">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1">
    <w:name w:val="标题 4 字符"/>
    <w:basedOn w:val="16"/>
    <w:link w:val="5"/>
    <w:semiHidden/>
    <w:qFormat/>
    <w:uiPriority w:val="9"/>
    <w:rPr>
      <w:rFonts w:cstheme="majorBidi"/>
      <w:color w:val="2F5597" w:themeColor="accent1" w:themeShade="BF"/>
      <w:sz w:val="28"/>
      <w:szCs w:val="28"/>
    </w:rPr>
  </w:style>
  <w:style w:type="character" w:customStyle="1" w:styleId="22">
    <w:name w:val="标题 5 字符"/>
    <w:basedOn w:val="16"/>
    <w:link w:val="6"/>
    <w:semiHidden/>
    <w:qFormat/>
    <w:uiPriority w:val="9"/>
    <w:rPr>
      <w:rFonts w:cstheme="majorBidi"/>
      <w:color w:val="2F5597" w:themeColor="accent1" w:themeShade="BF"/>
      <w:sz w:val="24"/>
    </w:rPr>
  </w:style>
  <w:style w:type="character" w:customStyle="1" w:styleId="23">
    <w:name w:val="标题 6 字符"/>
    <w:basedOn w:val="16"/>
    <w:link w:val="7"/>
    <w:semiHidden/>
    <w:qFormat/>
    <w:uiPriority w:val="9"/>
    <w:rPr>
      <w:rFonts w:cstheme="majorBidi"/>
      <w:b/>
      <w:bCs/>
      <w:color w:val="2F5597" w:themeColor="accent1" w:themeShade="BF"/>
    </w:rPr>
  </w:style>
  <w:style w:type="character" w:customStyle="1" w:styleId="24">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6"/>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6"/>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明显引用 字符"/>
    <w:basedOn w:val="16"/>
    <w:link w:val="33"/>
    <w:qFormat/>
    <w:uiPriority w:val="30"/>
    <w:rPr>
      <w:i/>
      <w:iCs/>
      <w:color w:val="2F5597" w:themeColor="accent1" w:themeShade="BF"/>
    </w:rPr>
  </w:style>
  <w:style w:type="character" w:customStyle="1" w:styleId="35">
    <w:name w:val="Intense Reference"/>
    <w:basedOn w:val="16"/>
    <w:qFormat/>
    <w:uiPriority w:val="32"/>
    <w:rPr>
      <w:b/>
      <w:bCs/>
      <w:smallCaps/>
      <w:color w:val="2F5597" w:themeColor="accent1" w:themeShade="BF"/>
      <w:spacing w:val="5"/>
    </w:rPr>
  </w:style>
  <w:style w:type="character" w:customStyle="1" w:styleId="36">
    <w:name w:val="页眉 字符"/>
    <w:basedOn w:val="16"/>
    <w:link w:val="12"/>
    <w:qFormat/>
    <w:uiPriority w:val="99"/>
    <w:rPr>
      <w:sz w:val="18"/>
      <w:szCs w:val="18"/>
    </w:rPr>
  </w:style>
  <w:style w:type="character" w:customStyle="1" w:styleId="37">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1637</Words>
  <Characters>1762</Characters>
  <Lines>40</Lines>
  <Paragraphs>24</Paragraphs>
  <TotalTime>15</TotalTime>
  <ScaleCrop>false</ScaleCrop>
  <LinksUpToDate>false</LinksUpToDate>
  <CharactersWithSpaces>1765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2025-12-03T21:04:00Z</dcterms:created>
  <dc:creator>vivian chen</dc:creator>
  <cp:lastModifiedBy>范永文</cp:lastModifiedBy>
  <dcterms:modified xsi:type="dcterms:W3CDTF">2025-12-08T01:26:13Z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E26F04872C18A61352053069D035ABF9</vt:lpwstr>
  </property>
  <property fmtid="{D5CDD505-2E9C-101B-9397-08002B2CF9AE}" pid="4" name="KSOTemplateDocerSaveRecord">
    <vt:lpwstr>eyJoZGlkIjoiODQ0OTU2NmFiMmFjMzIxODFmOWYzODc5NTI4MThmNjAiLCJ1c2VySWQiOiIxMDMwOTc1NDMwIn0=</vt:lpwstr>
  </property>
</Properties>
</file>