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DF20">
      <w:pPr>
        <w:spacing w:before="0" w:beforeLines="-2147483648" w:after="0" w:afterLines="-2147483648"/>
        <w:ind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1：</w:t>
      </w:r>
    </w:p>
    <w:p w14:paraId="5B433B24">
      <w:pPr>
        <w:spacing w:before="156" w:beforeLines="50" w:after="156" w:afterLines="5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厦门专精特新企业“内贸信保”简介</w:t>
      </w:r>
    </w:p>
    <w:p w14:paraId="5D472A1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为贯彻落实《厦门市人民政府办公厅关于印发厦门市支持专精特新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/>
          <w:sz w:val="32"/>
          <w:szCs w:val="32"/>
        </w:rPr>
        <w:t>高质量发展的若干措施的通知》（厦府办规〔2024〕11 号）的有关规定，市工信局推动中国人民财产保险厦门市分公司、中国出口信用保险厦门分公司、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中国大地财产保险厦门分公司</w:t>
      </w:r>
      <w:r>
        <w:rPr>
          <w:rFonts w:hint="eastAsia" w:ascii="仿宋_GB2312" w:hAnsi="仿宋_GB2312" w:eastAsia="仿宋_GB2312"/>
          <w:sz w:val="32"/>
          <w:szCs w:val="32"/>
        </w:rPr>
        <w:t>等单位推出支持专精特新企业的国内贸易信用保险专属产品，鼓励企业加大开拓国内市场力度，相关产品特点如下：</w:t>
      </w:r>
    </w:p>
    <w:p w14:paraId="788D964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一、支持对象优</w:t>
      </w:r>
    </w:p>
    <w:p w14:paraId="2C39F19A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补助期限内仍属</w:t>
      </w:r>
      <w:r>
        <w:rPr>
          <w:rFonts w:hint="eastAsia" w:ascii="仿宋_GB2312" w:hAnsi="仿宋_GB2312" w:eastAsia="仿宋_GB2312"/>
          <w:sz w:val="32"/>
          <w:szCs w:val="32"/>
        </w:rPr>
        <w:t>有效期的专精特新企业，包含专精特新中小企业、专精特新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小巨人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专精特新重点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小巨人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5CE30918">
      <w:pPr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二、保障覆盖广</w:t>
      </w:r>
      <w:r>
        <w:rPr>
          <w:rFonts w:hint="eastAsia" w:ascii="黑体" w:hAnsi="黑体" w:eastAsia="黑体"/>
          <w:b/>
          <w:bCs/>
          <w:sz w:val="32"/>
          <w:szCs w:val="32"/>
        </w:rPr>
        <w:tab/>
      </w:r>
    </w:p>
    <w:p w14:paraId="78F2B91A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可覆盖保险期限内的全部国内赊销买家以及全部国内赊销交易。</w:t>
      </w:r>
    </w:p>
    <w:p w14:paraId="12FBD80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三、赔付比例高</w:t>
      </w:r>
    </w:p>
    <w:p w14:paraId="66D07C1A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国内赊销交易产生的买方破产、拖欠引起的直接损失，保险公司给予损失金额80%的补偿。</w:t>
      </w:r>
    </w:p>
    <w:p w14:paraId="700A3B5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四、买家免审核</w:t>
      </w:r>
    </w:p>
    <w:p w14:paraId="378B50B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对专精特新企业的下游买家，实行免审核机制，其中专精特新中小企业单个买家自行掌握限额最高为100万元，专精特新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小巨人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企业单个买家自行掌握限额最高为300万元（人保财险为300万元，出口信保、大地财险按实际情况申请确定）。</w:t>
      </w:r>
    </w:p>
    <w:p w14:paraId="269A1A6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五、保险费率低</w:t>
      </w:r>
    </w:p>
    <w:p w14:paraId="488B529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根据企业年度投保金额和自行掌握限额情况，在自行掌握限额范围内的保险费率最低为2‰，最高为5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5‰。</w:t>
      </w:r>
    </w:p>
    <w:p w14:paraId="5540890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六、产品可订制</w:t>
      </w:r>
    </w:p>
    <w:p w14:paraId="7C1A0683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对于销售金额较高的企业，企业需要更多保障额度，保险公司可订制个性化产品，支持企业更好拓展国内市场。</w:t>
      </w:r>
    </w:p>
    <w:p w14:paraId="724813A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七、政策有力度</w:t>
      </w:r>
    </w:p>
    <w:p w14:paraId="057C925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对参与国内贸易信用保险的专精特新企业，单张保单保险费率7‰以内部分的保费，按企业实缴保险费用40%给予补贴，单家企业最高30万元。</w:t>
      </w:r>
    </w:p>
    <w:p w14:paraId="60AFC44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425E151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注：专属产品仅由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中国人民财产保险厦门市分公司、中国出口信用保险厦门分公司、中国大地财产保险厦门分公司提供；</w:t>
      </w:r>
      <w:r>
        <w:rPr>
          <w:rFonts w:hint="eastAsia" w:ascii="仿宋_GB2312" w:hAnsi="仿宋_GB2312" w:eastAsia="仿宋_GB2312"/>
          <w:sz w:val="32"/>
          <w:szCs w:val="32"/>
        </w:rPr>
        <w:t>个性化定制产品可由附件2所列所有保险公司支持。</w:t>
      </w:r>
    </w:p>
    <w:p w14:paraId="59CAE1F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E3"/>
    <w:rsid w:val="00200521"/>
    <w:rsid w:val="002F63E3"/>
    <w:rsid w:val="00647B3C"/>
    <w:rsid w:val="00B114CA"/>
    <w:rsid w:val="081A35AE"/>
    <w:rsid w:val="2767416A"/>
    <w:rsid w:val="317240D7"/>
    <w:rsid w:val="63C0320F"/>
    <w:rsid w:val="6F7FAC76"/>
    <w:rsid w:val="73FF4E58"/>
    <w:rsid w:val="788259B4"/>
    <w:rsid w:val="7D8D5F47"/>
    <w:rsid w:val="7DCB250C"/>
    <w:rsid w:val="7DFC4874"/>
    <w:rsid w:val="866178CD"/>
    <w:rsid w:val="DFBA032F"/>
    <w:rsid w:val="F32EE4C2"/>
    <w:rsid w:val="FFE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707</Characters>
  <Lines>5</Lines>
  <Paragraphs>1</Paragraphs>
  <TotalTime>4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2025-01-09T19:08:00Z</dcterms:created>
  <dc:creator>xmadmin</dc:creator>
  <cp:lastModifiedBy>Administrator</cp:lastModifiedBy>
  <dcterms:modified xsi:type="dcterms:W3CDTF">2025-01-24T03:47:04Z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eyJoZGlkIjoiYWNkOTM5M2I2ZTBjMzBmOGE0YjlkOTZhNDMxYjljNDgifQ==</vt:lpwstr>
  </property>
  <property fmtid="{D5CDD505-2E9C-101B-9397-08002B2CF9AE}" pid="4" name="ICV">
    <vt:lpwstr>FFD6EC9B8F0942DC88F29B56A966AECD_13</vt:lpwstr>
  </property>
</Properties>
</file>