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AAC97">
      <w:pPr>
        <w:pStyle w:val="10"/>
        <w:widowControl/>
        <w:spacing w:before="0" w:beforeAutospacing="0" w:after="0" w:afterAutospacing="0" w:line="580" w:lineRule="exact"/>
        <w:jc w:val="center"/>
        <w:outlineLvl w:val="0"/>
        <w:rPr>
          <w:rStyle w:val="13"/>
          <w:rFonts w:hint="eastAsia" w:ascii="方正小标宋简体" w:hAnsi="方正小标宋简体" w:eastAsia="方正小标宋简体" w:cs="方正小标宋简体"/>
          <w:b w:val="0"/>
          <w:bCs/>
          <w:color w:val="000000"/>
          <w:sz w:val="44"/>
          <w:szCs w:val="44"/>
        </w:rPr>
      </w:pPr>
      <w:r>
        <w:rPr>
          <w:rStyle w:val="13"/>
          <w:rFonts w:hint="eastAsia" w:ascii="方正小标宋简体" w:hAnsi="方正小标宋简体" w:eastAsia="方正小标宋简体" w:cs="方正小标宋简体"/>
          <w:b w:val="0"/>
          <w:bCs/>
          <w:color w:val="000000"/>
          <w:sz w:val="44"/>
          <w:szCs w:val="44"/>
          <w:lang w:val="en-US" w:eastAsia="zh-CN"/>
        </w:rPr>
        <w:t>厦门</w:t>
      </w:r>
      <w:r>
        <w:rPr>
          <w:rStyle w:val="13"/>
          <w:rFonts w:hint="eastAsia" w:ascii="方正小标宋简体" w:hAnsi="方正小标宋简体" w:eastAsia="方正小标宋简体" w:cs="方正小标宋简体"/>
          <w:b w:val="0"/>
          <w:bCs/>
          <w:color w:val="000000"/>
          <w:sz w:val="44"/>
          <w:szCs w:val="44"/>
        </w:rPr>
        <w:t>市中小企业数字化转型试点城市</w:t>
      </w:r>
    </w:p>
    <w:p w14:paraId="7A8A9AA4">
      <w:pPr>
        <w:pStyle w:val="10"/>
        <w:widowControl/>
        <w:spacing w:before="0" w:beforeAutospacing="0" w:after="0" w:afterAutospacing="0" w:line="580" w:lineRule="exact"/>
        <w:jc w:val="center"/>
        <w:outlineLvl w:val="0"/>
        <w:rPr>
          <w:rStyle w:val="13"/>
          <w:rFonts w:hint="eastAsia" w:ascii="方正小标宋简体" w:hAnsi="方正小标宋简体" w:eastAsia="方正小标宋简体" w:cs="方正小标宋简体"/>
          <w:b w:val="0"/>
          <w:bCs/>
          <w:color w:val="000000"/>
          <w:sz w:val="44"/>
          <w:szCs w:val="44"/>
          <w:lang w:val="en-US" w:eastAsia="zh-CN"/>
        </w:rPr>
      </w:pPr>
      <w:r>
        <w:rPr>
          <w:rStyle w:val="13"/>
          <w:rFonts w:hint="eastAsia" w:ascii="方正小标宋简体" w:hAnsi="方正小标宋简体" w:eastAsia="方正小标宋简体" w:cs="方正小标宋简体"/>
          <w:b w:val="0"/>
          <w:bCs/>
          <w:color w:val="000000"/>
          <w:sz w:val="44"/>
          <w:szCs w:val="44"/>
          <w:lang w:val="en-US" w:eastAsia="zh-CN"/>
        </w:rPr>
        <w:t>数字化</w:t>
      </w:r>
      <w:r>
        <w:rPr>
          <w:rStyle w:val="13"/>
          <w:rFonts w:hint="eastAsia" w:ascii="方正小标宋简体" w:hAnsi="方正小标宋简体" w:eastAsia="方正小标宋简体" w:cs="方正小标宋简体"/>
          <w:b w:val="0"/>
          <w:bCs/>
          <w:color w:val="000000"/>
          <w:sz w:val="44"/>
          <w:szCs w:val="44"/>
        </w:rPr>
        <w:t>服务商</w:t>
      </w:r>
      <w:r>
        <w:rPr>
          <w:rStyle w:val="13"/>
          <w:rFonts w:hint="eastAsia" w:ascii="方正小标宋简体" w:hAnsi="方正小标宋简体" w:eastAsia="方正小标宋简体" w:cs="方正小标宋简体"/>
          <w:b w:val="0"/>
          <w:bCs/>
          <w:color w:val="000000"/>
          <w:sz w:val="44"/>
          <w:szCs w:val="44"/>
          <w:lang w:val="en-US" w:eastAsia="zh-CN"/>
        </w:rPr>
        <w:t>服务能力评价指引</w:t>
      </w:r>
    </w:p>
    <w:p w14:paraId="071E0F30">
      <w:pPr>
        <w:pStyle w:val="10"/>
        <w:widowControl/>
        <w:spacing w:before="0" w:beforeAutospacing="0" w:after="0" w:afterAutospacing="0" w:line="580" w:lineRule="exact"/>
        <w:jc w:val="center"/>
        <w:outlineLvl w:val="0"/>
        <w:rPr>
          <w:rStyle w:val="13"/>
          <w:rFonts w:hint="default" w:ascii="方正小标宋简体" w:hAnsi="方正小标宋简体" w:eastAsia="方正小标宋简体" w:cs="方正小标宋简体"/>
          <w:b w:val="0"/>
          <w:bCs/>
          <w:color w:val="000000"/>
          <w:sz w:val="44"/>
          <w:szCs w:val="44"/>
          <w:lang w:val="en-US"/>
        </w:rPr>
      </w:pPr>
      <w:bookmarkStart w:id="0" w:name="_GoBack"/>
      <w:bookmarkEnd w:id="0"/>
      <w:r>
        <w:rPr>
          <w:rStyle w:val="13"/>
          <w:rFonts w:hint="eastAsia" w:ascii="方正小标宋简体" w:hAnsi="方正小标宋简体" w:eastAsia="方正小标宋简体" w:cs="方正小标宋简体"/>
          <w:b w:val="0"/>
          <w:bCs/>
          <w:color w:val="000000"/>
          <w:sz w:val="44"/>
          <w:szCs w:val="44"/>
          <w:lang w:val="en-US" w:eastAsia="zh-CN"/>
        </w:rPr>
        <w:t>（征求意见稿）</w:t>
      </w:r>
    </w:p>
    <w:p w14:paraId="4B72F71C">
      <w:pPr>
        <w:pStyle w:val="10"/>
        <w:widowControl/>
        <w:spacing w:before="0" w:beforeAutospacing="0" w:after="0" w:afterAutospacing="0" w:line="580" w:lineRule="exact"/>
        <w:jc w:val="center"/>
        <w:outlineLvl w:val="0"/>
        <w:rPr>
          <w:rStyle w:val="13"/>
          <w:rFonts w:hint="eastAsia" w:ascii="方正小标宋简体" w:hAnsi="方正小标宋简体" w:eastAsia="方正小标宋简体" w:cs="方正小标宋简体"/>
          <w:b w:val="0"/>
          <w:bCs/>
          <w:color w:val="000000"/>
          <w:sz w:val="44"/>
          <w:szCs w:val="44"/>
          <w:lang w:eastAsia="zh-CN"/>
        </w:rPr>
      </w:pPr>
    </w:p>
    <w:p w14:paraId="15035FDE">
      <w:pPr>
        <w:pStyle w:val="10"/>
        <w:widowControl/>
        <w:spacing w:before="0" w:beforeAutospacing="0" w:after="0" w:afterAutospacing="0" w:line="580" w:lineRule="exact"/>
        <w:ind w:firstLine="640" w:firstLineChars="200"/>
        <w:jc w:val="both"/>
        <w:outlineLvl w:val="1"/>
        <w:rPr>
          <w:rFonts w:ascii="仿宋_GB2312" w:hAnsi="仿宋_GB2312" w:eastAsia="仿宋_GB2312" w:cs="仿宋_GB2312"/>
          <w:color w:val="000000"/>
          <w:sz w:val="32"/>
          <w:szCs w:val="32"/>
        </w:rPr>
      </w:pPr>
      <w:r>
        <w:rPr>
          <w:rFonts w:hint="default" w:ascii="仿宋_GB2312" w:hAnsi="仿宋_GB2312" w:eastAsia="仿宋_GB2312" w:cs="仿宋_GB2312"/>
          <w:b w:val="0"/>
          <w:bCs w:val="0"/>
          <w:color w:val="000000"/>
          <w:kern w:val="0"/>
          <w:sz w:val="32"/>
          <w:szCs w:val="32"/>
        </w:rPr>
        <w:t>为贯彻落实《厦门市中小企业数字化转型试点工作方案》</w:t>
      </w:r>
      <w:r>
        <w:rPr>
          <w:rFonts w:hint="eastAsia" w:ascii="仿宋_GB2312" w:hAnsi="仿宋_GB2312" w:eastAsia="仿宋_GB2312" w:cs="仿宋_GB2312"/>
          <w:b w:val="0"/>
          <w:bCs w:val="0"/>
          <w:color w:val="000000"/>
          <w:kern w:val="0"/>
          <w:sz w:val="32"/>
          <w:szCs w:val="32"/>
          <w:lang w:eastAsia="zh-CN"/>
        </w:rPr>
        <w:t>（</w:t>
      </w:r>
      <w:r>
        <w:rPr>
          <w:rFonts w:hint="default" w:ascii="仿宋_GB2312" w:hAnsi="仿宋_GB2312" w:eastAsia="仿宋_GB2312" w:cs="仿宋_GB2312"/>
          <w:b w:val="0"/>
          <w:bCs w:val="0"/>
          <w:color w:val="000000"/>
          <w:kern w:val="0"/>
          <w:sz w:val="32"/>
          <w:szCs w:val="32"/>
        </w:rPr>
        <w:t>厦工信规〔2024〕1号</w:t>
      </w:r>
      <w:r>
        <w:rPr>
          <w:rFonts w:hint="eastAsia" w:ascii="仿宋_GB2312" w:hAnsi="仿宋_GB2312" w:eastAsia="仿宋_GB2312" w:cs="仿宋_GB2312"/>
          <w:b w:val="0"/>
          <w:bCs w:val="0"/>
          <w:color w:val="000000"/>
          <w:kern w:val="0"/>
          <w:sz w:val="32"/>
          <w:szCs w:val="32"/>
          <w:lang w:eastAsia="zh-CN"/>
        </w:rPr>
        <w:t>）</w:t>
      </w:r>
      <w:r>
        <w:rPr>
          <w:rFonts w:hint="default" w:ascii="仿宋_GB2312" w:hAnsi="仿宋_GB2312" w:eastAsia="仿宋_GB2312" w:cs="仿宋_GB2312"/>
          <w:b w:val="0"/>
          <w:bCs w:val="0"/>
          <w:color w:val="000000"/>
          <w:kern w:val="0"/>
          <w:sz w:val="32"/>
          <w:szCs w:val="32"/>
        </w:rPr>
        <w:t>文件要求，培育发展</w:t>
      </w:r>
      <w:r>
        <w:rPr>
          <w:rFonts w:ascii="仿宋_GB2312" w:hAnsi="仿宋_GB2312" w:eastAsia="仿宋_GB2312" w:cs="仿宋_GB2312"/>
          <w:b w:val="0"/>
          <w:bCs w:val="0"/>
          <w:color w:val="000000"/>
          <w:kern w:val="0"/>
          <w:sz w:val="32"/>
          <w:szCs w:val="32"/>
        </w:rPr>
        <w:t>厦门市优质中小企业数字化服务商，</w:t>
      </w:r>
      <w:r>
        <w:rPr>
          <w:rFonts w:hint="default" w:ascii="仿宋_GB2312" w:hAnsi="仿宋_GB2312" w:eastAsia="仿宋_GB2312" w:cs="仿宋_GB2312"/>
          <w:b w:val="0"/>
          <w:bCs w:val="0"/>
          <w:color w:val="000000"/>
          <w:kern w:val="0"/>
          <w:sz w:val="32"/>
          <w:szCs w:val="32"/>
        </w:rPr>
        <w:t>着力提升</w:t>
      </w:r>
      <w:r>
        <w:rPr>
          <w:rFonts w:ascii="仿宋_GB2312" w:hAnsi="仿宋_GB2312" w:eastAsia="仿宋_GB2312" w:cs="仿宋_GB2312"/>
          <w:b w:val="0"/>
          <w:bCs w:val="0"/>
          <w:color w:val="000000"/>
          <w:kern w:val="0"/>
          <w:sz w:val="32"/>
          <w:szCs w:val="32"/>
        </w:rPr>
        <w:t>数字化转型</w:t>
      </w:r>
      <w:r>
        <w:rPr>
          <w:rFonts w:hint="default" w:ascii="仿宋_GB2312" w:hAnsi="仿宋_GB2312" w:eastAsia="仿宋_GB2312" w:cs="仿宋_GB2312"/>
          <w:b w:val="0"/>
          <w:bCs w:val="0"/>
          <w:color w:val="000000"/>
          <w:kern w:val="0"/>
          <w:sz w:val="32"/>
          <w:szCs w:val="32"/>
        </w:rPr>
        <w:t>服务供给能力和服务水平</w:t>
      </w:r>
      <w:r>
        <w:rPr>
          <w:rFonts w:ascii="仿宋_GB2312" w:hAnsi="仿宋_GB2312" w:eastAsia="仿宋_GB2312" w:cs="仿宋_GB2312"/>
          <w:b w:val="0"/>
          <w:bCs w:val="0"/>
          <w:color w:val="000000"/>
          <w:kern w:val="0"/>
          <w:sz w:val="32"/>
          <w:szCs w:val="32"/>
        </w:rPr>
        <w:t>，</w:t>
      </w:r>
      <w:r>
        <w:rPr>
          <w:rFonts w:hint="default" w:ascii="仿宋_GB2312" w:hAnsi="仿宋_GB2312" w:eastAsia="仿宋_GB2312" w:cs="仿宋_GB2312"/>
          <w:b w:val="0"/>
          <w:bCs w:val="0"/>
          <w:color w:val="000000"/>
          <w:kern w:val="0"/>
          <w:sz w:val="32"/>
          <w:szCs w:val="32"/>
        </w:rPr>
        <w:t>有效支撑厦门市中小企业数字化转型试点城市工作，</w:t>
      </w:r>
      <w:r>
        <w:rPr>
          <w:rFonts w:hint="eastAsia" w:ascii="仿宋_GB2312" w:hAnsi="仿宋_GB2312" w:eastAsia="仿宋_GB2312" w:cs="仿宋_GB2312"/>
          <w:b w:val="0"/>
          <w:bCs w:val="0"/>
          <w:color w:val="000000"/>
          <w:kern w:val="0"/>
          <w:sz w:val="32"/>
          <w:szCs w:val="32"/>
          <w:lang w:val="en-US" w:eastAsia="zh-CN" w:bidi="ar-SA"/>
        </w:rPr>
        <w:t>加快培育和发展我市新质生产力，</w:t>
      </w:r>
      <w:r>
        <w:rPr>
          <w:rFonts w:ascii="仿宋_GB2312" w:hAnsi="仿宋_GB2312" w:eastAsia="仿宋_GB2312" w:cs="仿宋_GB2312"/>
          <w:color w:val="000000"/>
          <w:sz w:val="32"/>
          <w:szCs w:val="32"/>
        </w:rPr>
        <w:t>特制定本</w:t>
      </w:r>
      <w:r>
        <w:rPr>
          <w:rFonts w:hint="eastAsia" w:ascii="仿宋_GB2312" w:hAnsi="仿宋_GB2312" w:eastAsia="仿宋_GB2312" w:cs="仿宋_GB2312"/>
          <w:color w:val="000000"/>
          <w:sz w:val="32"/>
          <w:szCs w:val="32"/>
          <w:lang w:eastAsia="zh-CN"/>
        </w:rPr>
        <w:t>评价指引</w:t>
      </w:r>
      <w:r>
        <w:rPr>
          <w:rFonts w:hint="eastAsia" w:ascii="仿宋_GB2312" w:hAnsi="仿宋_GB2312" w:eastAsia="仿宋_GB2312" w:cs="仿宋_GB2312"/>
          <w:color w:val="000000"/>
          <w:sz w:val="32"/>
          <w:szCs w:val="32"/>
        </w:rPr>
        <w:t>。</w:t>
      </w:r>
    </w:p>
    <w:p w14:paraId="382916AC">
      <w:pPr>
        <w:pStyle w:val="2"/>
        <w:spacing w:before="0" w:beforeAutospacing="0" w:after="0" w:afterAutospacing="0" w:line="560" w:lineRule="exact"/>
        <w:ind w:firstLine="0" w:firstLineChars="0"/>
        <w:jc w:val="center"/>
        <w:rPr>
          <w:rFonts w:ascii="黑体" w:hAnsi="黑体" w:eastAsia="黑体" w:cs="黑体"/>
          <w:sz w:val="32"/>
          <w:szCs w:val="32"/>
        </w:rPr>
      </w:pPr>
    </w:p>
    <w:p w14:paraId="2FB23F42">
      <w:pPr>
        <w:pStyle w:val="2"/>
        <w:spacing w:before="0" w:beforeAutospacing="0" w:after="0" w:afterAutospacing="0" w:line="560" w:lineRule="exact"/>
        <w:ind w:firstLine="0" w:firstLineChars="0"/>
        <w:jc w:val="center"/>
        <w:rPr>
          <w:rFonts w:hint="default" w:ascii="黑体" w:hAnsi="黑体" w:eastAsia="黑体" w:cs="黑体"/>
          <w:color w:val="000000"/>
          <w:sz w:val="32"/>
          <w:szCs w:val="32"/>
        </w:rPr>
      </w:pPr>
      <w:r>
        <w:rPr>
          <w:rFonts w:ascii="黑体" w:hAnsi="黑体" w:eastAsia="黑体" w:cs="黑体"/>
          <w:sz w:val="32"/>
          <w:szCs w:val="32"/>
        </w:rPr>
        <w:t>第一章 总则</w:t>
      </w:r>
    </w:p>
    <w:p w14:paraId="012EE8FF">
      <w:pPr>
        <w:pStyle w:val="10"/>
        <w:widowControl/>
        <w:spacing w:before="0" w:beforeAutospacing="0" w:after="0" w:afterAutospacing="0" w:line="560" w:lineRule="exact"/>
        <w:ind w:firstLine="640" w:firstLineChars="200"/>
        <w:jc w:val="both"/>
        <w:outlineLvl w:val="1"/>
        <w:rPr>
          <w:rFonts w:hint="eastAsia" w:ascii="仿宋_GB2312" w:hAnsi="仿宋_GB2312" w:eastAsia="仿宋_GB2312" w:cs="仿宋_GB2312"/>
          <w:color w:val="000000"/>
          <w:sz w:val="32"/>
          <w:szCs w:val="32"/>
        </w:rPr>
      </w:pPr>
      <w:r>
        <w:rPr>
          <w:rStyle w:val="14"/>
          <w:rFonts w:hint="eastAsia"/>
          <w:b w:val="0"/>
          <w:bCs/>
          <w:szCs w:val="32"/>
        </w:rPr>
        <w:t>第一条</w:t>
      </w:r>
      <w:r>
        <w:rPr>
          <w:rFonts w:hint="eastAsia" w:ascii="仿宋_GB2312" w:hAnsi="仿宋_GB2312" w:eastAsia="仿宋_GB2312" w:cs="仿宋_GB2312"/>
          <w:color w:val="000000"/>
          <w:sz w:val="32"/>
          <w:szCs w:val="32"/>
        </w:rPr>
        <w:t xml:space="preserve">  本</w:t>
      </w:r>
      <w:r>
        <w:rPr>
          <w:rFonts w:hint="eastAsia" w:ascii="仿宋_GB2312" w:hAnsi="仿宋_GB2312" w:eastAsia="仿宋_GB2312" w:cs="仿宋_GB2312"/>
          <w:color w:val="000000"/>
          <w:sz w:val="32"/>
          <w:szCs w:val="32"/>
          <w:lang w:eastAsia="zh-CN"/>
        </w:rPr>
        <w:t>评价指引</w:t>
      </w:r>
      <w:r>
        <w:rPr>
          <w:rFonts w:hint="eastAsia" w:ascii="仿宋_GB2312" w:hAnsi="仿宋_GB2312" w:eastAsia="仿宋_GB2312" w:cs="仿宋_GB2312"/>
          <w:color w:val="000000"/>
          <w:sz w:val="32"/>
          <w:szCs w:val="32"/>
        </w:rPr>
        <w:t>适用于参与厦门市中小企业数字化转型试点工作的数字化服务商。</w:t>
      </w:r>
    </w:p>
    <w:p w14:paraId="0171B579">
      <w:pPr>
        <w:pStyle w:val="10"/>
        <w:widowControl/>
        <w:numPr>
          <w:ilvl w:val="0"/>
          <w:numId w:val="0"/>
        </w:numPr>
        <w:spacing w:before="0" w:beforeAutospacing="0" w:after="0" w:afterAutospacing="0" w:line="560" w:lineRule="exact"/>
        <w:ind w:firstLine="640" w:firstLineChars="200"/>
        <w:jc w:val="both"/>
        <w:outlineLvl w:val="1"/>
        <w:rPr>
          <w:rFonts w:hint="eastAsia" w:ascii="仿宋_GB2312" w:hAnsi="仿宋_GB2312" w:eastAsia="仿宋_GB2312" w:cs="仿宋_GB2312"/>
          <w:color w:val="000000"/>
          <w:sz w:val="32"/>
          <w:szCs w:val="32"/>
        </w:rPr>
      </w:pPr>
      <w:r>
        <w:rPr>
          <w:rStyle w:val="14"/>
          <w:rFonts w:hint="eastAsia"/>
          <w:b w:val="0"/>
          <w:bCs/>
          <w:szCs w:val="32"/>
        </w:rPr>
        <w:t>第</w:t>
      </w:r>
      <w:r>
        <w:rPr>
          <w:rStyle w:val="14"/>
          <w:rFonts w:hint="eastAsia" w:eastAsia="黑体"/>
          <w:b w:val="0"/>
          <w:bCs/>
          <w:szCs w:val="32"/>
          <w:lang w:val="en-US" w:eastAsia="zh-CN"/>
        </w:rPr>
        <w:t>二</w:t>
      </w:r>
      <w:r>
        <w:rPr>
          <w:rStyle w:val="14"/>
          <w:rFonts w:hint="eastAsia"/>
          <w:b w:val="0"/>
          <w:bCs/>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厦门</w:t>
      </w:r>
      <w:r>
        <w:rPr>
          <w:rFonts w:hint="eastAsia" w:ascii="仿宋_GB2312" w:hAnsi="仿宋_GB2312" w:eastAsia="仿宋_GB2312" w:cs="仿宋_GB2312"/>
          <w:color w:val="000000"/>
          <w:sz w:val="32"/>
          <w:szCs w:val="32"/>
          <w:lang w:eastAsia="zh-CN"/>
        </w:rPr>
        <w:t>市工业和信息化局（</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工信局”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根据本办法对数字化服务商进行日常统计与监测、动态管理和评定评价等相关工作。</w:t>
      </w:r>
    </w:p>
    <w:p w14:paraId="273FFCCB">
      <w:pPr>
        <w:pStyle w:val="2"/>
        <w:spacing w:before="0" w:beforeAutospacing="0" w:after="0" w:afterAutospacing="0" w:line="560" w:lineRule="exact"/>
        <w:ind w:firstLine="0" w:firstLineChars="0"/>
        <w:jc w:val="center"/>
        <w:rPr>
          <w:rFonts w:ascii="黑体" w:hAnsi="黑体" w:eastAsia="黑体" w:cs="黑体"/>
          <w:sz w:val="32"/>
          <w:szCs w:val="32"/>
        </w:rPr>
      </w:pPr>
    </w:p>
    <w:p w14:paraId="686E3603">
      <w:pPr>
        <w:pStyle w:val="2"/>
        <w:spacing w:before="0" w:beforeAutospacing="0" w:after="0" w:afterAutospacing="0" w:line="560" w:lineRule="exact"/>
        <w:ind w:firstLine="0" w:firstLineChars="0"/>
        <w:jc w:val="center"/>
        <w:rPr>
          <w:rFonts w:hint="default" w:ascii="黑体" w:hAnsi="黑体" w:eastAsia="黑体" w:cs="黑体"/>
          <w:color w:val="000000"/>
          <w:sz w:val="32"/>
          <w:szCs w:val="32"/>
        </w:rPr>
      </w:pPr>
      <w:r>
        <w:rPr>
          <w:rFonts w:ascii="黑体" w:hAnsi="黑体" w:eastAsia="黑体" w:cs="黑体"/>
          <w:sz w:val="32"/>
          <w:szCs w:val="32"/>
        </w:rPr>
        <w:t>第</w:t>
      </w:r>
      <w:r>
        <w:rPr>
          <w:rFonts w:hint="eastAsia" w:ascii="黑体" w:hAnsi="黑体" w:eastAsia="黑体" w:cs="黑体"/>
          <w:sz w:val="32"/>
          <w:szCs w:val="32"/>
          <w:lang w:val="en-US" w:eastAsia="zh-CN"/>
        </w:rPr>
        <w:t>二</w:t>
      </w:r>
      <w:r>
        <w:rPr>
          <w:rFonts w:ascii="黑体" w:hAnsi="黑体" w:eastAsia="黑体" w:cs="黑体"/>
          <w:sz w:val="32"/>
          <w:szCs w:val="32"/>
        </w:rPr>
        <w:t>章 相关方与职责</w:t>
      </w:r>
    </w:p>
    <w:p w14:paraId="1FA0115E">
      <w:pPr>
        <w:pStyle w:val="10"/>
        <w:widowControl/>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bidi="ar"/>
        </w:rPr>
        <w:t>第</w:t>
      </w:r>
      <w:r>
        <w:rPr>
          <w:rFonts w:hint="eastAsia" w:ascii="黑体" w:hAnsi="黑体" w:eastAsia="黑体" w:cs="黑体"/>
          <w:color w:val="000000"/>
          <w:sz w:val="32"/>
          <w:szCs w:val="32"/>
          <w:lang w:val="en-US" w:eastAsia="zh-CN" w:bidi="ar"/>
        </w:rPr>
        <w:t>三</w:t>
      </w:r>
      <w:r>
        <w:rPr>
          <w:rFonts w:hint="eastAsia" w:ascii="黑体" w:hAnsi="黑体" w:eastAsia="黑体" w:cs="黑体"/>
          <w:color w:val="000000"/>
          <w:sz w:val="32"/>
          <w:szCs w:val="32"/>
          <w:lang w:bidi="ar"/>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市工信局</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数字化转型</w:t>
      </w:r>
      <w:r>
        <w:rPr>
          <w:rFonts w:hint="eastAsia" w:ascii="仿宋_GB2312" w:hAnsi="仿宋_GB2312" w:eastAsia="仿宋_GB2312" w:cs="仿宋_GB2312"/>
          <w:color w:val="000000"/>
          <w:sz w:val="32"/>
          <w:szCs w:val="32"/>
        </w:rPr>
        <w:t>服务商</w:t>
      </w:r>
      <w:r>
        <w:rPr>
          <w:rFonts w:hint="eastAsia" w:ascii="仿宋_GB2312" w:hAnsi="仿宋_GB2312" w:eastAsia="仿宋_GB2312" w:cs="仿宋_GB2312"/>
          <w:color w:val="000000"/>
          <w:sz w:val="32"/>
          <w:szCs w:val="32"/>
          <w:lang w:eastAsia="zh-CN"/>
        </w:rPr>
        <w:t>监督</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，主要职责是监督指导</w:t>
      </w:r>
      <w:r>
        <w:rPr>
          <w:rFonts w:hint="eastAsia" w:ascii="仿宋_GB2312" w:hAnsi="仿宋_GB2312" w:eastAsia="仿宋_GB2312" w:cs="仿宋_GB2312"/>
          <w:color w:val="000000"/>
          <w:sz w:val="32"/>
          <w:szCs w:val="32"/>
          <w:lang w:eastAsia="zh-CN"/>
        </w:rPr>
        <w:t>数字化</w:t>
      </w:r>
      <w:r>
        <w:rPr>
          <w:rFonts w:hint="eastAsia" w:ascii="仿宋_GB2312" w:hAnsi="仿宋_GB2312" w:eastAsia="仿宋_GB2312" w:cs="仿宋_GB2312"/>
          <w:color w:val="000000"/>
          <w:sz w:val="32"/>
          <w:szCs w:val="32"/>
          <w:lang w:val="en-US" w:eastAsia="zh-CN"/>
        </w:rPr>
        <w:t>转型</w:t>
      </w:r>
      <w:r>
        <w:rPr>
          <w:rFonts w:hint="eastAsia" w:ascii="仿宋_GB2312" w:hAnsi="仿宋_GB2312" w:eastAsia="仿宋_GB2312" w:cs="仿宋_GB2312"/>
          <w:color w:val="000000"/>
          <w:sz w:val="32"/>
          <w:szCs w:val="32"/>
        </w:rPr>
        <w:t>服务商</w:t>
      </w:r>
      <w:r>
        <w:rPr>
          <w:rFonts w:hint="eastAsia" w:ascii="仿宋_GB2312" w:hAnsi="仿宋_GB2312" w:eastAsia="仿宋_GB2312" w:cs="仿宋_GB2312"/>
          <w:color w:val="000000"/>
          <w:sz w:val="32"/>
          <w:szCs w:val="32"/>
          <w:lang w:val="en-US" w:eastAsia="zh-CN"/>
        </w:rPr>
        <w:t>开展</w:t>
      </w:r>
      <w:r>
        <w:rPr>
          <w:rFonts w:hint="eastAsia" w:ascii="仿宋_GB2312" w:hAnsi="仿宋_GB2312" w:eastAsia="仿宋_GB2312" w:cs="仿宋_GB2312"/>
          <w:color w:val="000000"/>
          <w:sz w:val="32"/>
          <w:szCs w:val="32"/>
          <w:lang w:eastAsia="zh-CN"/>
        </w:rPr>
        <w:t>改造服务工作，并根据服务商服务情况进行</w:t>
      </w:r>
      <w:r>
        <w:rPr>
          <w:rFonts w:hint="eastAsia" w:ascii="仿宋_GB2312" w:hAnsi="仿宋_GB2312" w:eastAsia="仿宋_GB2312" w:cs="仿宋_GB2312"/>
          <w:color w:val="000000"/>
          <w:sz w:val="32"/>
          <w:szCs w:val="32"/>
          <w:lang w:val="en-US" w:eastAsia="zh-CN"/>
        </w:rPr>
        <w:t>评价管理</w:t>
      </w:r>
      <w:r>
        <w:rPr>
          <w:rFonts w:hint="eastAsia" w:ascii="仿宋_GB2312" w:hAnsi="仿宋_GB2312" w:eastAsia="仿宋_GB2312" w:cs="仿宋_GB2312"/>
          <w:color w:val="000000"/>
          <w:sz w:val="32"/>
          <w:szCs w:val="32"/>
          <w:lang w:eastAsia="zh-CN"/>
        </w:rPr>
        <w:t>。</w:t>
      </w:r>
    </w:p>
    <w:p w14:paraId="39607F1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仿宋_GB2312" w:hAnsi="仿宋_GB2312" w:eastAsia="微软雅黑" w:cs="仿宋_GB2312"/>
          <w:color w:val="000000"/>
          <w:sz w:val="32"/>
          <w:szCs w:val="32"/>
          <w:lang w:val="en-US" w:eastAsia="zh-CN"/>
        </w:rPr>
      </w:pPr>
      <w:r>
        <w:rPr>
          <w:rStyle w:val="14"/>
          <w:rFonts w:hint="eastAsia" w:cstheme="minorBidi"/>
          <w:b w:val="0"/>
          <w:bCs/>
          <w:szCs w:val="32"/>
          <w:lang w:val="en-US" w:eastAsia="zh-CN"/>
        </w:rPr>
        <w:t>第四条</w:t>
      </w:r>
      <w:r>
        <w:rPr>
          <w:rFonts w:hint="eastAsia" w:ascii="仿宋_GB2312" w:hAnsi="仿宋_GB2312" w:eastAsia="仿宋_GB2312" w:cs="仿宋_GB2312"/>
          <w:color w:val="000000"/>
          <w:sz w:val="32"/>
          <w:szCs w:val="32"/>
          <w:lang w:val="en-US" w:eastAsia="zh-CN"/>
        </w:rPr>
        <w:t xml:space="preserve">  数字化转型服务商是推动试点企业数字化改造的重要参与单位，数字化转型服务商主要包含“链主”企业、综合集成服务商、“小快轻准”产品服务商等类别。数字化转型服务商职责要求，申报程序等事项，详见《厦门市工业和信息化局关于开展中小企业数字化转型试点城市数字化服务商遴选的通知》（厦工信企业函〔2023〕134号）相关要求。</w:t>
      </w:r>
    </w:p>
    <w:p w14:paraId="59AEF2B7">
      <w:pPr>
        <w:jc w:val="center"/>
        <w:rPr>
          <w:rFonts w:hint="eastAsia" w:ascii="黑体" w:hAnsi="黑体" w:eastAsia="黑体" w:cs="黑体"/>
          <w:sz w:val="32"/>
          <w:szCs w:val="32"/>
        </w:rPr>
      </w:pPr>
    </w:p>
    <w:p w14:paraId="649EE336">
      <w:pPr>
        <w:jc w:val="center"/>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评价流程</w:t>
      </w:r>
    </w:p>
    <w:p w14:paraId="0ADB4280">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olor w:val="000000"/>
          <w:kern w:val="0"/>
          <w:sz w:val="32"/>
          <w:szCs w:val="32"/>
          <w:lang w:bidi="ar"/>
        </w:rPr>
      </w:pPr>
      <w:r>
        <w:rPr>
          <w:rStyle w:val="14"/>
          <w:rFonts w:hint="eastAsia" w:cs="Times New Roman"/>
          <w:b w:val="0"/>
          <w:bCs/>
          <w:kern w:val="0"/>
          <w:szCs w:val="32"/>
          <w:lang w:val="en-US" w:eastAsia="zh-CN" w:bidi="ar-SA"/>
        </w:rPr>
        <w:t>第五条</w:t>
      </w:r>
      <w:r>
        <w:rPr>
          <w:rFonts w:hint="eastAsia" w:ascii="仿宋_GB2312" w:hAnsi="仿宋_GB2312" w:eastAsia="仿宋_GB2312"/>
          <w:color w:val="000000"/>
          <w:kern w:val="0"/>
          <w:sz w:val="32"/>
          <w:szCs w:val="32"/>
          <w:lang w:bidi="ar"/>
        </w:rPr>
        <w:t xml:space="preserve"> </w:t>
      </w:r>
      <w:r>
        <w:rPr>
          <w:rFonts w:hint="eastAsia" w:ascii="黑体" w:hAnsi="黑体" w:eastAsia="黑体" w:cs="黑体"/>
          <w:color w:val="000000"/>
          <w:kern w:val="0"/>
          <w:sz w:val="32"/>
          <w:szCs w:val="32"/>
          <w:lang w:val="en-US" w:eastAsia="zh-CN" w:bidi="ar"/>
        </w:rPr>
        <w:t>评价</w:t>
      </w:r>
      <w:r>
        <w:rPr>
          <w:rStyle w:val="14"/>
          <w:rFonts w:hint="eastAsia" w:cs="Times New Roman"/>
          <w:b w:val="0"/>
          <w:bCs/>
          <w:kern w:val="0"/>
          <w:szCs w:val="32"/>
          <w:lang w:val="en-US" w:eastAsia="zh-CN" w:bidi="ar-SA"/>
        </w:rPr>
        <w:t>原则。</w:t>
      </w:r>
      <w:r>
        <w:rPr>
          <w:rFonts w:hint="eastAsia" w:ascii="仿宋_GB2312" w:hAnsi="仿宋_GB2312" w:eastAsia="仿宋_GB2312"/>
          <w:color w:val="000000"/>
          <w:kern w:val="0"/>
          <w:sz w:val="32"/>
          <w:szCs w:val="32"/>
          <w:lang w:bidi="ar"/>
        </w:rPr>
        <w:t>市工信局按照“公平公正、优中择优、动态调整”的原则负责服务商</w:t>
      </w:r>
      <w:r>
        <w:rPr>
          <w:rFonts w:hint="eastAsia" w:ascii="仿宋_GB2312" w:hAnsi="仿宋_GB2312" w:eastAsia="仿宋_GB2312"/>
          <w:color w:val="000000"/>
          <w:kern w:val="0"/>
          <w:sz w:val="32"/>
          <w:szCs w:val="32"/>
          <w:lang w:val="en-US" w:eastAsia="zh-CN" w:bidi="ar"/>
        </w:rPr>
        <w:t>在试点城市工作中的评价与动态</w:t>
      </w:r>
      <w:r>
        <w:rPr>
          <w:rFonts w:hint="eastAsia" w:ascii="仿宋_GB2312" w:hAnsi="仿宋_GB2312" w:eastAsia="仿宋_GB2312"/>
          <w:color w:val="000000"/>
          <w:kern w:val="0"/>
          <w:sz w:val="32"/>
          <w:szCs w:val="32"/>
          <w:lang w:bidi="ar"/>
        </w:rPr>
        <w:t>调整工作。</w:t>
      </w:r>
    </w:p>
    <w:p w14:paraId="39ADD1E4">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olor w:val="000000"/>
          <w:kern w:val="0"/>
          <w:sz w:val="32"/>
          <w:szCs w:val="32"/>
          <w:lang w:val="en-US" w:eastAsia="zh-CN" w:bidi="ar"/>
        </w:rPr>
      </w:pPr>
      <w:r>
        <w:rPr>
          <w:rStyle w:val="14"/>
          <w:rFonts w:hint="eastAsia" w:cs="Times New Roman"/>
          <w:b w:val="0"/>
          <w:bCs/>
          <w:kern w:val="0"/>
          <w:szCs w:val="32"/>
          <w:lang w:val="en-US" w:eastAsia="zh-CN" w:bidi="ar-SA"/>
        </w:rPr>
        <w:t>第六条 评价内容。</w:t>
      </w:r>
      <w:r>
        <w:rPr>
          <w:rFonts w:hint="eastAsia" w:ascii="仿宋_GB2312" w:hAnsi="仿宋_GB2312" w:eastAsia="仿宋_GB2312"/>
          <w:color w:val="000000"/>
          <w:kern w:val="0"/>
          <w:sz w:val="32"/>
          <w:szCs w:val="32"/>
          <w:lang w:bidi="ar"/>
        </w:rPr>
        <w:t>市工信局</w:t>
      </w:r>
      <w:r>
        <w:rPr>
          <w:rFonts w:hint="eastAsia" w:ascii="仿宋_GB2312" w:hAnsi="仿宋_GB2312" w:eastAsia="仿宋_GB2312"/>
          <w:color w:val="000000"/>
          <w:kern w:val="0"/>
          <w:sz w:val="32"/>
          <w:szCs w:val="32"/>
          <w:lang w:val="en-US" w:eastAsia="zh-CN" w:bidi="ar"/>
        </w:rPr>
        <w:t>将围绕“服务企业情况”、“产品服务能力”、“工作实效评价”、“综合服务能力”等四个维度开展服务商赋分评价工作，总分100分，具体内容如下（具体标准见附件）。</w:t>
      </w:r>
    </w:p>
    <w:p w14:paraId="4F2D82FA">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（一）服务企业情况（共25分）</w:t>
      </w:r>
    </w:p>
    <w:p w14:paraId="429F8719">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1.企业已签约立项数量（8分）。</w:t>
      </w:r>
      <w:r>
        <w:rPr>
          <w:rFonts w:hint="eastAsia" w:ascii="仿宋_GB2312" w:hAnsi="仿宋_GB2312" w:eastAsia="仿宋_GB2312"/>
          <w:color w:val="000000"/>
          <w:kern w:val="0"/>
          <w:sz w:val="32"/>
          <w:szCs w:val="32"/>
          <w:lang w:val="en-US" w:eastAsia="zh-CN" w:bidi="ar"/>
        </w:rPr>
        <w:t>通过厦门市中小企业数字化转型公共服务平台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val="en-US" w:eastAsia="zh-CN"/>
        </w:rPr>
        <w:t>公共服务平台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olor w:val="000000"/>
          <w:kern w:val="0"/>
          <w:sz w:val="32"/>
          <w:szCs w:val="32"/>
          <w:lang w:val="en-US" w:eastAsia="zh-CN" w:bidi="ar"/>
        </w:rPr>
        <w:t>，统计服务商与试点企业完成签约立项的数量予以赋分评价。</w:t>
      </w:r>
    </w:p>
    <w:p w14:paraId="6135FF70">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2.企业改造验收如期完成情况（6分）。</w:t>
      </w:r>
      <w:r>
        <w:rPr>
          <w:rFonts w:hint="eastAsia" w:ascii="仿宋_GB2312" w:hAnsi="仿宋_GB2312" w:eastAsia="仿宋_GB2312"/>
          <w:color w:val="000000"/>
          <w:kern w:val="0"/>
          <w:sz w:val="32"/>
          <w:szCs w:val="32"/>
          <w:lang w:val="en-US" w:eastAsia="zh-CN" w:bidi="ar"/>
        </w:rPr>
        <w:t>服务商与试点企业签约改造完成后，根据改造验收如期完成率予以赋分。</w:t>
      </w:r>
    </w:p>
    <w:p w14:paraId="0FB742F6">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default"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3.企业改造验收通过情况（6分）。</w:t>
      </w:r>
      <w:r>
        <w:rPr>
          <w:rFonts w:hint="eastAsia" w:ascii="仿宋_GB2312" w:hAnsi="仿宋_GB2312" w:eastAsia="仿宋_GB2312"/>
          <w:b w:val="0"/>
          <w:bCs w:val="0"/>
          <w:color w:val="000000"/>
          <w:kern w:val="0"/>
          <w:sz w:val="32"/>
          <w:szCs w:val="32"/>
          <w:lang w:val="en-US" w:eastAsia="zh-CN" w:bidi="ar"/>
        </w:rPr>
        <w:t>根据试点企业改造后验收等级二级及以上通过率</w:t>
      </w:r>
      <w:r>
        <w:rPr>
          <w:rFonts w:hint="eastAsia" w:ascii="仿宋_GB2312" w:hAnsi="仿宋_GB2312" w:eastAsia="仿宋_GB2312"/>
          <w:color w:val="000000"/>
          <w:kern w:val="0"/>
          <w:sz w:val="32"/>
          <w:szCs w:val="32"/>
          <w:lang w:val="en-US" w:eastAsia="zh-CN" w:bidi="ar"/>
        </w:rPr>
        <w:t>予以赋分</w:t>
      </w:r>
      <w:r>
        <w:rPr>
          <w:rFonts w:hint="eastAsia" w:ascii="仿宋_GB2312" w:hAnsi="仿宋_GB2312" w:eastAsia="仿宋_GB2312"/>
          <w:b w:val="0"/>
          <w:bCs w:val="0"/>
          <w:color w:val="000000"/>
          <w:kern w:val="0"/>
          <w:sz w:val="32"/>
          <w:szCs w:val="32"/>
          <w:lang w:val="en-US" w:eastAsia="zh-CN" w:bidi="ar"/>
        </w:rPr>
        <w:t>。</w:t>
      </w:r>
    </w:p>
    <w:p w14:paraId="7AE25F9F">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default"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4.服务商让利情况（5分）。</w:t>
      </w:r>
      <w:r>
        <w:rPr>
          <w:rFonts w:hint="eastAsia" w:ascii="仿宋_GB2312" w:hAnsi="仿宋_GB2312" w:eastAsia="仿宋_GB2312"/>
          <w:b w:val="0"/>
          <w:bCs w:val="0"/>
          <w:color w:val="000000"/>
          <w:kern w:val="0"/>
          <w:sz w:val="32"/>
          <w:szCs w:val="32"/>
          <w:lang w:val="en-US" w:eastAsia="zh-CN" w:bidi="ar"/>
        </w:rPr>
        <w:t>结合服务商申报时承诺的价格、增值服务等让利情况进行核实</w:t>
      </w:r>
      <w:r>
        <w:rPr>
          <w:rFonts w:hint="eastAsia" w:ascii="仿宋_GB2312" w:hAnsi="仿宋_GB2312" w:eastAsia="仿宋_GB2312"/>
          <w:color w:val="000000"/>
          <w:kern w:val="0"/>
          <w:sz w:val="32"/>
          <w:szCs w:val="32"/>
          <w:lang w:val="en-US" w:eastAsia="zh-CN" w:bidi="ar"/>
        </w:rPr>
        <w:t>赋分</w:t>
      </w:r>
      <w:r>
        <w:rPr>
          <w:rFonts w:hint="eastAsia" w:ascii="仿宋_GB2312" w:hAnsi="仿宋_GB2312" w:eastAsia="仿宋_GB2312"/>
          <w:b w:val="0"/>
          <w:bCs w:val="0"/>
          <w:color w:val="000000"/>
          <w:kern w:val="0"/>
          <w:sz w:val="32"/>
          <w:szCs w:val="32"/>
          <w:lang w:val="en-US" w:eastAsia="zh-CN" w:bidi="ar"/>
        </w:rPr>
        <w:t>。</w:t>
      </w:r>
    </w:p>
    <w:p w14:paraId="51BF5FB5">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（二）产品服务能力（共25分）</w:t>
      </w:r>
    </w:p>
    <w:p w14:paraId="1145C622">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1.服务商产品数量（8分）。</w:t>
      </w:r>
      <w:r>
        <w:rPr>
          <w:rFonts w:hint="eastAsia" w:ascii="仿宋_GB2312" w:hAnsi="仿宋_GB2312" w:eastAsia="仿宋_GB2312"/>
          <w:b w:val="0"/>
          <w:bCs w:val="0"/>
          <w:color w:val="000000"/>
          <w:kern w:val="0"/>
          <w:sz w:val="32"/>
          <w:szCs w:val="32"/>
          <w:lang w:val="en-US" w:eastAsia="zh-CN" w:bidi="ar"/>
        </w:rPr>
        <w:t>通过公共服务平台审核发布的“小快轻准”产品数量</w:t>
      </w:r>
      <w:r>
        <w:rPr>
          <w:rFonts w:hint="eastAsia" w:ascii="仿宋_GB2312" w:hAnsi="仿宋_GB2312" w:eastAsia="仿宋_GB2312"/>
          <w:color w:val="000000"/>
          <w:kern w:val="0"/>
          <w:sz w:val="32"/>
          <w:szCs w:val="32"/>
          <w:lang w:val="en-US" w:eastAsia="zh-CN" w:bidi="ar"/>
        </w:rPr>
        <w:t>予以赋分</w:t>
      </w:r>
      <w:r>
        <w:rPr>
          <w:rFonts w:hint="eastAsia" w:ascii="仿宋_GB2312" w:hAnsi="仿宋_GB2312" w:eastAsia="仿宋_GB2312"/>
          <w:b w:val="0"/>
          <w:bCs w:val="0"/>
          <w:color w:val="000000"/>
          <w:kern w:val="0"/>
          <w:sz w:val="32"/>
          <w:szCs w:val="32"/>
          <w:lang w:val="en-US" w:eastAsia="zh-CN" w:bidi="ar"/>
        </w:rPr>
        <w:t>。</w:t>
      </w:r>
    </w:p>
    <w:p w14:paraId="0909993B">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2.服务商产品覆盖场景（8分）。</w:t>
      </w:r>
      <w:r>
        <w:rPr>
          <w:rFonts w:hint="eastAsia" w:ascii="仿宋_GB2312" w:hAnsi="仿宋_GB2312" w:eastAsia="仿宋_GB2312"/>
          <w:b w:val="0"/>
          <w:bCs w:val="0"/>
          <w:color w:val="000000"/>
          <w:kern w:val="0"/>
          <w:sz w:val="32"/>
          <w:szCs w:val="32"/>
          <w:lang w:val="en-US" w:eastAsia="zh-CN" w:bidi="ar"/>
        </w:rPr>
        <w:t>通过公共服务平台审核发布的“小快轻准”产品场景覆盖数量</w:t>
      </w:r>
      <w:r>
        <w:rPr>
          <w:rFonts w:hint="eastAsia" w:ascii="仿宋_GB2312" w:hAnsi="仿宋_GB2312" w:eastAsia="仿宋_GB2312"/>
          <w:color w:val="000000"/>
          <w:kern w:val="0"/>
          <w:sz w:val="32"/>
          <w:szCs w:val="32"/>
          <w:lang w:val="en-US" w:eastAsia="zh-CN" w:bidi="ar"/>
        </w:rPr>
        <w:t>予以赋分</w:t>
      </w:r>
      <w:r>
        <w:rPr>
          <w:rFonts w:hint="eastAsia" w:ascii="仿宋_GB2312" w:hAnsi="仿宋_GB2312" w:eastAsia="仿宋_GB2312"/>
          <w:b w:val="0"/>
          <w:bCs w:val="0"/>
          <w:color w:val="000000"/>
          <w:kern w:val="0"/>
          <w:sz w:val="32"/>
          <w:szCs w:val="32"/>
          <w:lang w:val="en-US" w:eastAsia="zh-CN" w:bidi="ar"/>
        </w:rPr>
        <w:t>。</w:t>
      </w:r>
    </w:p>
    <w:p w14:paraId="4ECF7254">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default"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3.服务商产品复制推广能力（5分）。</w:t>
      </w:r>
      <w:r>
        <w:rPr>
          <w:rFonts w:hint="eastAsia" w:ascii="仿宋_GB2312" w:hAnsi="仿宋_GB2312" w:eastAsia="仿宋_GB2312"/>
          <w:b w:val="0"/>
          <w:bCs w:val="0"/>
          <w:color w:val="000000"/>
          <w:kern w:val="0"/>
          <w:sz w:val="32"/>
          <w:szCs w:val="32"/>
          <w:lang w:val="en-US" w:eastAsia="zh-CN" w:bidi="ar"/>
        </w:rPr>
        <w:t>鼓励服务商发布面向其他行业的数字化转型解决方案，实现产品或解决方案带动本市其他行业复制推广。</w:t>
      </w:r>
    </w:p>
    <w:p w14:paraId="788E379D">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default"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4.服务商产品持续运维升级能力（4分）。</w:t>
      </w:r>
      <w:r>
        <w:rPr>
          <w:rFonts w:hint="eastAsia" w:ascii="仿宋_GB2312" w:hAnsi="仿宋_GB2312" w:eastAsia="仿宋_GB2312"/>
          <w:b w:val="0"/>
          <w:bCs w:val="0"/>
          <w:color w:val="000000"/>
          <w:kern w:val="0"/>
          <w:sz w:val="32"/>
          <w:szCs w:val="32"/>
          <w:lang w:val="en-US" w:eastAsia="zh-CN" w:bidi="ar"/>
        </w:rPr>
        <w:t>服务商签订的合同中，对产品与服务质量、迭代升级、运营维保等提出明确服务时长的，按承诺时长予以赋分。</w:t>
      </w:r>
    </w:p>
    <w:p w14:paraId="01DC91E2">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（三）工作实效评价（共30分）</w:t>
      </w:r>
    </w:p>
    <w:p w14:paraId="295F7C89">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1.服务商服务态度评价（5分）。</w:t>
      </w:r>
      <w:r>
        <w:rPr>
          <w:rFonts w:hint="eastAsia" w:ascii="仿宋_GB2312" w:hAnsi="仿宋_GB2312" w:eastAsia="仿宋_GB2312"/>
          <w:b w:val="0"/>
          <w:bCs w:val="0"/>
          <w:color w:val="000000"/>
          <w:kern w:val="0"/>
          <w:sz w:val="32"/>
          <w:szCs w:val="32"/>
          <w:lang w:val="en-US" w:eastAsia="zh-CN" w:bidi="ar"/>
        </w:rPr>
        <w:t>试点企业在公共服务平台上对服务商的服务配合度、服务专业性等内容进行打分，打分情况作为赋分依据。</w:t>
      </w:r>
    </w:p>
    <w:p w14:paraId="2B3A4D5F">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2.服务商响应速度评价（5分）。</w:t>
      </w:r>
      <w:r>
        <w:rPr>
          <w:rFonts w:hint="eastAsia" w:ascii="仿宋_GB2312" w:hAnsi="仿宋_GB2312" w:eastAsia="仿宋_GB2312"/>
          <w:b w:val="0"/>
          <w:bCs w:val="0"/>
          <w:color w:val="000000"/>
          <w:kern w:val="0"/>
          <w:sz w:val="32"/>
          <w:szCs w:val="32"/>
          <w:lang w:val="en-US" w:eastAsia="zh-CN" w:bidi="ar"/>
        </w:rPr>
        <w:t>试点企业在公共服务平台上对服务商的响应速度、沟通效率、解决问题效率等内容进行打分，打分情况作为赋分依据。</w:t>
      </w:r>
    </w:p>
    <w:p w14:paraId="25717131">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default"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3.企业改造成效评价（10分）</w:t>
      </w:r>
      <w:r>
        <w:rPr>
          <w:rFonts w:hint="eastAsia" w:ascii="仿宋_GB2312" w:hAnsi="仿宋_GB2312" w:eastAsia="仿宋_GB2312"/>
          <w:b w:val="0"/>
          <w:bCs w:val="0"/>
          <w:color w:val="000000"/>
          <w:kern w:val="0"/>
          <w:sz w:val="32"/>
          <w:szCs w:val="32"/>
          <w:lang w:val="en-US" w:eastAsia="zh-CN" w:bidi="ar"/>
        </w:rPr>
        <w:t>。试点企业在公共服务平台上对改造完成后的数字化综合成效进行打分，打分情况将作为赋分依据评价。</w:t>
      </w:r>
    </w:p>
    <w:p w14:paraId="2889AD58">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4.专家核验改造实效（10分）。</w:t>
      </w:r>
      <w:r>
        <w:rPr>
          <w:rFonts w:hint="eastAsia" w:ascii="仿宋_GB2312" w:hAnsi="仿宋_GB2312" w:eastAsia="仿宋_GB2312"/>
          <w:b w:val="0"/>
          <w:bCs w:val="0"/>
          <w:color w:val="000000"/>
          <w:kern w:val="0"/>
          <w:sz w:val="32"/>
          <w:szCs w:val="32"/>
          <w:lang w:val="en-US" w:eastAsia="zh-CN" w:bidi="ar"/>
        </w:rPr>
        <w:t>第三方专家通过改造前后对比，从创新、市场、提质、增效、绿色等维度指标体系，根据试点企业改造提升的实效情况予以赋分。</w:t>
      </w:r>
    </w:p>
    <w:p w14:paraId="549BB2B7">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bCs/>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（四）综合服务能力（共20分）</w:t>
      </w:r>
    </w:p>
    <w:p w14:paraId="1A5A2AA5">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1.推动链式转型（5分）。</w:t>
      </w:r>
      <w:r>
        <w:rPr>
          <w:rFonts w:hint="eastAsia" w:ascii="仿宋_GB2312" w:hAnsi="仿宋_GB2312" w:eastAsia="仿宋_GB2312"/>
          <w:b w:val="0"/>
          <w:bCs w:val="0"/>
          <w:color w:val="000000"/>
          <w:kern w:val="0"/>
          <w:sz w:val="32"/>
          <w:szCs w:val="32"/>
          <w:lang w:val="en-US" w:eastAsia="zh-CN" w:bidi="ar"/>
        </w:rPr>
        <w:t>鼓励链主服务商或服务商联合链主企业，带动行业上下游关联试点企业完成签约改造。</w:t>
      </w:r>
    </w:p>
    <w:p w14:paraId="66277747">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2.服务企业入选标杆案例（5分）。</w:t>
      </w:r>
      <w:r>
        <w:rPr>
          <w:rFonts w:hint="eastAsia" w:ascii="仿宋_GB2312" w:hAnsi="仿宋_GB2312" w:eastAsia="仿宋_GB2312"/>
          <w:b w:val="0"/>
          <w:bCs w:val="0"/>
          <w:color w:val="000000"/>
          <w:kern w:val="0"/>
          <w:sz w:val="32"/>
          <w:szCs w:val="32"/>
          <w:lang w:val="en-US" w:eastAsia="zh-CN" w:bidi="ar"/>
        </w:rPr>
        <w:t>鼓励服务商积极推动试点企业成为“优秀案例”标杆示范。</w:t>
      </w:r>
    </w:p>
    <w:p w14:paraId="616A5156">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3.活动参展课题支撑情况（5分）。</w:t>
      </w:r>
      <w:r>
        <w:rPr>
          <w:rFonts w:hint="eastAsia" w:ascii="仿宋_GB2312" w:hAnsi="仿宋_GB2312" w:eastAsia="仿宋_GB2312"/>
          <w:b w:val="0"/>
          <w:bCs w:val="0"/>
          <w:color w:val="000000"/>
          <w:kern w:val="0"/>
          <w:sz w:val="32"/>
          <w:szCs w:val="32"/>
          <w:lang w:val="en-US" w:eastAsia="zh-CN" w:bidi="ar"/>
        </w:rPr>
        <w:t>鼓励服务商在主管部门指导下，积极开展行业论坛、企业参展、主题沙龙等活动。</w:t>
      </w:r>
    </w:p>
    <w:p w14:paraId="0287A73F">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4.海外转型赋能（5分）。</w:t>
      </w:r>
      <w:r>
        <w:rPr>
          <w:rFonts w:hint="eastAsia" w:ascii="仿宋_GB2312" w:hAnsi="仿宋_GB2312" w:eastAsia="仿宋_GB2312"/>
          <w:b w:val="0"/>
          <w:bCs w:val="0"/>
          <w:color w:val="000000"/>
          <w:kern w:val="0"/>
          <w:sz w:val="32"/>
          <w:szCs w:val="32"/>
          <w:lang w:val="en-US" w:eastAsia="zh-CN" w:bidi="ar"/>
        </w:rPr>
        <w:t>鼓励服务商积极推动数字化转型产品或解决方案走向海外，扩大对外赋能影响。</w:t>
      </w:r>
    </w:p>
    <w:p w14:paraId="732BB4C3">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（五）加分项（共10分）</w:t>
      </w:r>
    </w:p>
    <w:p w14:paraId="07D72D90">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1.获省部级荣誉（3分）。</w:t>
      </w:r>
      <w:r>
        <w:rPr>
          <w:rFonts w:hint="eastAsia" w:ascii="仿宋_GB2312" w:hAnsi="仿宋_GB2312" w:eastAsia="仿宋_GB2312"/>
          <w:b w:val="0"/>
          <w:bCs w:val="0"/>
          <w:color w:val="000000"/>
          <w:kern w:val="0"/>
          <w:sz w:val="32"/>
          <w:szCs w:val="32"/>
          <w:lang w:val="en-US" w:eastAsia="zh-CN" w:bidi="ar"/>
        </w:rPr>
        <w:t>鼓励服务商积极申报国家级典型案例或解决方案等荣誉。</w:t>
      </w:r>
    </w:p>
    <w:p w14:paraId="46ED9202">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2.转型成效标杆（4分）。</w:t>
      </w:r>
      <w:r>
        <w:rPr>
          <w:rFonts w:hint="eastAsia" w:ascii="仿宋_GB2312" w:hAnsi="仿宋_GB2312" w:eastAsia="仿宋_GB2312"/>
          <w:b w:val="0"/>
          <w:bCs w:val="0"/>
          <w:color w:val="000000"/>
          <w:kern w:val="0"/>
          <w:sz w:val="32"/>
          <w:szCs w:val="32"/>
          <w:lang w:val="en-US" w:eastAsia="zh-CN" w:bidi="ar"/>
        </w:rPr>
        <w:t>鼓励服务商积极推动试点企业实现改造后数字化水平四级。</w:t>
      </w:r>
    </w:p>
    <w:p w14:paraId="1F430C61">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default" w:ascii="仿宋_GB2312" w:hAnsi="仿宋_GB2312" w:eastAsia="仿宋_GB2312"/>
          <w:b w:val="0"/>
          <w:bCs w:val="0"/>
          <w:color w:val="000000"/>
          <w:kern w:val="0"/>
          <w:sz w:val="32"/>
          <w:szCs w:val="32"/>
          <w:lang w:val="en-US" w:eastAsia="zh-CN" w:bidi="ar"/>
        </w:rPr>
      </w:pPr>
      <w:r>
        <w:rPr>
          <w:rFonts w:hint="eastAsia" w:ascii="仿宋_GB2312" w:hAnsi="仿宋_GB2312" w:eastAsia="仿宋_GB2312"/>
          <w:b/>
          <w:bCs/>
          <w:color w:val="000000"/>
          <w:kern w:val="0"/>
          <w:sz w:val="32"/>
          <w:szCs w:val="32"/>
          <w:lang w:val="en-US" w:eastAsia="zh-CN" w:bidi="ar"/>
        </w:rPr>
        <w:t>3.宣传推广工作（3分）。</w:t>
      </w:r>
      <w:r>
        <w:rPr>
          <w:rFonts w:hint="eastAsia" w:ascii="仿宋_GB2312" w:hAnsi="仿宋_GB2312" w:eastAsia="仿宋_GB2312"/>
          <w:b w:val="0"/>
          <w:bCs w:val="0"/>
          <w:color w:val="000000"/>
          <w:kern w:val="0"/>
          <w:sz w:val="32"/>
          <w:szCs w:val="32"/>
          <w:lang w:val="en-US" w:eastAsia="zh-CN" w:bidi="ar"/>
        </w:rPr>
        <w:t>鼓励服务商入驻创新中心开展典型案例宣传工作，或参与其他主管部门宣传推广工作。</w:t>
      </w:r>
    </w:p>
    <w:p w14:paraId="47F62993">
      <w:pPr>
        <w:pStyle w:val="10"/>
        <w:widowControl/>
        <w:spacing w:before="0" w:beforeAutospacing="0" w:after="0" w:afterAutospacing="0" w:line="580" w:lineRule="exact"/>
        <w:ind w:firstLine="640" w:firstLineChars="200"/>
        <w:jc w:val="both"/>
        <w:outlineLvl w:val="1"/>
        <w:rPr>
          <w:rStyle w:val="14"/>
          <w:rFonts w:hint="eastAsia" w:cs="Times New Roman"/>
          <w:b w:val="0"/>
          <w:bCs/>
          <w:kern w:val="0"/>
          <w:szCs w:val="32"/>
          <w:lang w:val="en-US" w:eastAsia="zh-CN" w:bidi="ar-SA"/>
        </w:rPr>
      </w:pPr>
      <w:r>
        <w:rPr>
          <w:rStyle w:val="14"/>
          <w:rFonts w:hint="eastAsia" w:cs="Times New Roman"/>
          <w:b w:val="0"/>
          <w:bCs/>
          <w:kern w:val="0"/>
          <w:szCs w:val="32"/>
          <w:lang w:val="en-US" w:eastAsia="zh-CN" w:bidi="ar-SA"/>
        </w:rPr>
        <w:t>第七条 评价程序。</w:t>
      </w:r>
      <w:r>
        <w:rPr>
          <w:rFonts w:hint="eastAsia" w:ascii="仿宋_GB2312" w:hAnsi="仿宋_GB2312" w:eastAsia="仿宋_GB2312" w:cs="仿宋_GB2312"/>
          <w:color w:val="000000"/>
          <w:kern w:val="0"/>
          <w:sz w:val="32"/>
          <w:szCs w:val="32"/>
          <w:lang w:val="en-US" w:eastAsia="zh-CN" w:bidi="ar"/>
        </w:rPr>
        <w:t>数字化服务商评价程序如下：</w:t>
      </w:r>
    </w:p>
    <w:p w14:paraId="54CE821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000000"/>
          <w:kern w:val="0"/>
          <w:sz w:val="32"/>
          <w:szCs w:val="32"/>
          <w:lang w:eastAsia="zh-CN" w:bidi="ar"/>
        </w:rPr>
      </w:pPr>
      <w:r>
        <w:rPr>
          <w:rFonts w:hint="eastAsia" w:ascii="仿宋_GB2312" w:hAnsi="仿宋_GB2312" w:eastAsia="仿宋_GB2312"/>
          <w:color w:val="000000"/>
          <w:kern w:val="0"/>
          <w:sz w:val="32"/>
          <w:szCs w:val="32"/>
          <w:lang w:val="en-US" w:eastAsia="zh-CN" w:bidi="ar"/>
        </w:rPr>
        <w:t>（一）资格核定。服务商</w:t>
      </w:r>
      <w:r>
        <w:rPr>
          <w:rFonts w:hint="eastAsia" w:ascii="仿宋_GB2312" w:hAnsi="仿宋_GB2312" w:eastAsia="仿宋_GB2312"/>
          <w:color w:val="000000"/>
          <w:kern w:val="0"/>
          <w:sz w:val="32"/>
          <w:szCs w:val="32"/>
          <w:lang w:bidi="ar"/>
        </w:rPr>
        <w:t>应为依法登记注册在中华人民共和国境内的独立法人企业，拥有实际经营场地、稳定的技术团队和技术人员、较强的本地化服务能力</w:t>
      </w:r>
      <w:r>
        <w:rPr>
          <w:rFonts w:hint="eastAsia" w:ascii="仿宋_GB2312" w:hAnsi="仿宋_GB2312" w:eastAsia="仿宋_GB2312"/>
          <w:color w:val="000000"/>
          <w:kern w:val="0"/>
          <w:sz w:val="32"/>
          <w:szCs w:val="32"/>
          <w:lang w:eastAsia="zh-CN" w:bidi="ar"/>
        </w:rPr>
        <w:t>，</w:t>
      </w:r>
      <w:r>
        <w:rPr>
          <w:rFonts w:hint="eastAsia" w:ascii="仿宋_GB2312" w:hAnsi="仿宋_GB2312" w:eastAsia="仿宋_GB2312"/>
          <w:color w:val="000000"/>
          <w:kern w:val="0"/>
          <w:sz w:val="32"/>
          <w:szCs w:val="32"/>
          <w:lang w:val="en-US" w:eastAsia="zh-CN" w:bidi="ar"/>
        </w:rPr>
        <w:t>及时响应试点企业改造需求，提供完善的售前售后服务。</w:t>
      </w:r>
    </w:p>
    <w:p w14:paraId="2E2437F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olor w:val="000000"/>
          <w:kern w:val="0"/>
          <w:sz w:val="32"/>
          <w:szCs w:val="32"/>
          <w:lang w:val="en-US" w:eastAsia="zh-CN" w:bidi="ar"/>
        </w:rPr>
      </w:pPr>
      <w:r>
        <w:rPr>
          <w:rFonts w:hint="eastAsia" w:ascii="仿宋_GB2312" w:hAnsi="仿宋_GB2312" w:eastAsia="仿宋_GB2312"/>
          <w:color w:val="000000"/>
          <w:kern w:val="0"/>
          <w:sz w:val="32"/>
          <w:szCs w:val="32"/>
          <w:lang w:val="en-US" w:eastAsia="zh-CN" w:bidi="ar"/>
        </w:rPr>
        <w:t>（二）组织评价。市工信局每季度组织专家结合《评价标准》，对数字化服务商进行综合评价赋分，并结合分数情况进行服务商评价。</w:t>
      </w:r>
      <w:r>
        <w:rPr>
          <w:rFonts w:hint="eastAsia" w:ascii="仿宋_GB2312" w:hAnsi="仿宋_GB2312" w:eastAsia="仿宋_GB2312" w:cs="仿宋_GB2312"/>
          <w:b w:val="0"/>
          <w:bCs w:val="0"/>
          <w:color w:val="000000"/>
          <w:kern w:val="0"/>
          <w:sz w:val="32"/>
          <w:szCs w:val="32"/>
          <w:lang w:val="en-US" w:eastAsia="zh-CN"/>
        </w:rPr>
        <w:t>根据分数设优秀，良好，合格，不合格四个等级。其中优秀服务商数量约占20%，且评价分数≥80分；良好服务商数量约占30%，且评价分数≥70分；合格服务商数量约占40%，且评价分数≥60分；剩余服务商评定为不合格。</w:t>
      </w:r>
    </w:p>
    <w:p w14:paraId="5CB0697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000000"/>
          <w:kern w:val="0"/>
          <w:sz w:val="32"/>
          <w:szCs w:val="32"/>
          <w:lang w:val="en-US" w:eastAsia="zh-CN" w:bidi="ar"/>
        </w:rPr>
      </w:pPr>
      <w:r>
        <w:rPr>
          <w:rStyle w:val="14"/>
          <w:rFonts w:hint="eastAsia" w:cs="Times New Roman"/>
          <w:b w:val="0"/>
          <w:bCs/>
          <w:kern w:val="0"/>
          <w:szCs w:val="32"/>
          <w:lang w:val="en-US" w:eastAsia="zh-CN" w:bidi="ar-SA"/>
        </w:rPr>
        <w:t>第八条 结果公示。</w:t>
      </w:r>
      <w:r>
        <w:rPr>
          <w:rFonts w:hint="eastAsia" w:ascii="仿宋_GB2312" w:hAnsi="仿宋_GB2312" w:eastAsia="仿宋_GB2312"/>
          <w:color w:val="000000"/>
          <w:kern w:val="0"/>
          <w:sz w:val="32"/>
          <w:szCs w:val="32"/>
          <w:lang w:val="en-US" w:eastAsia="zh-CN" w:bidi="ar"/>
        </w:rPr>
        <w:t>市工信局按相关规定对拟评等级的试点城市服务商向社会公示，公示时间不少于5个工作日。</w:t>
      </w:r>
    </w:p>
    <w:p w14:paraId="5FF9913D">
      <w:pPr>
        <w:jc w:val="center"/>
        <w:rPr>
          <w:rFonts w:hint="eastAsia" w:ascii="黑体" w:hAnsi="黑体" w:eastAsia="黑体" w:cs="黑体"/>
          <w:sz w:val="32"/>
          <w:szCs w:val="32"/>
          <w:lang w:val="en-US" w:eastAsia="zh-CN"/>
        </w:rPr>
      </w:pPr>
    </w:p>
    <w:p w14:paraId="6A35E7CF">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评价应用</w:t>
      </w:r>
    </w:p>
    <w:p w14:paraId="2AA6473B">
      <w:pPr>
        <w:widowControl/>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Style w:val="14"/>
          <w:rFonts w:hint="eastAsia" w:cs="Times New Roman"/>
          <w:b w:val="0"/>
          <w:bCs/>
          <w:kern w:val="0"/>
          <w:szCs w:val="32"/>
          <w:lang w:val="en-US" w:eastAsia="zh-CN" w:bidi="ar-SA"/>
        </w:rPr>
        <w:t>第九条 评价名单公布。</w:t>
      </w:r>
      <w:r>
        <w:rPr>
          <w:rFonts w:hint="eastAsia" w:ascii="仿宋_GB2312" w:hAnsi="仿宋_GB2312" w:eastAsia="仿宋_GB2312" w:cs="仿宋_GB2312"/>
          <w:color w:val="000000"/>
          <w:kern w:val="0"/>
          <w:sz w:val="32"/>
          <w:szCs w:val="32"/>
          <w:lang w:val="en-US" w:eastAsia="zh-CN" w:bidi="ar"/>
        </w:rPr>
        <w:t>市工信局将按季度、年度对优秀服务商名单给予公布宣传，并报送服务商解决方案和典型案入库厦门市政务信息共享协同平台、厦门市中小企业数字化公共服务平台等政务平台，常态化宣传展示，扩大服务商品牌影响。</w:t>
      </w:r>
    </w:p>
    <w:p w14:paraId="73FE4A19">
      <w:pPr>
        <w:widowControl/>
        <w:spacing w:line="560" w:lineRule="exact"/>
        <w:ind w:firstLine="640" w:firstLineChars="200"/>
        <w:rPr>
          <w:rFonts w:hint="default" w:ascii="仿宋_GB2312" w:hAnsi="仿宋_GB2312" w:eastAsia="仿宋_GB2312" w:cs="仿宋_GB2312"/>
          <w:color w:val="000000"/>
          <w:kern w:val="0"/>
          <w:sz w:val="32"/>
          <w:szCs w:val="32"/>
          <w:lang w:val="en-US" w:eastAsia="zh-CN" w:bidi="ar"/>
        </w:rPr>
      </w:pPr>
      <w:r>
        <w:rPr>
          <w:rStyle w:val="14"/>
          <w:rFonts w:hint="eastAsia" w:cs="Times New Roman"/>
          <w:b w:val="0"/>
          <w:bCs/>
          <w:kern w:val="0"/>
          <w:szCs w:val="32"/>
          <w:lang w:val="en-US" w:eastAsia="zh-CN" w:bidi="ar-SA"/>
        </w:rPr>
        <w:t>第十条 服务商支持。</w:t>
      </w:r>
      <w:r>
        <w:rPr>
          <w:rFonts w:hint="eastAsia" w:ascii="仿宋_GB2312" w:hAnsi="仿宋_GB2312" w:eastAsia="仿宋_GB2312" w:cs="仿宋_GB2312"/>
          <w:color w:val="000000"/>
          <w:kern w:val="0"/>
          <w:sz w:val="32"/>
          <w:szCs w:val="32"/>
          <w:lang w:val="en-US" w:eastAsia="zh-CN" w:bidi="ar"/>
        </w:rPr>
        <w:t>市工信局将结合工作实际，对优秀、良好、合格等级服务商给予工作支持，包括但不限于以下方面：推荐申报国家级试点示范荣誉；支持服务商赴海外或国内其他地市开展宣传推介工作；组织参与各类展会论坛等活动；入选厦门市创新体验中心优秀案例等。</w:t>
      </w:r>
    </w:p>
    <w:p w14:paraId="09427F4C">
      <w:pPr>
        <w:widowControl/>
        <w:spacing w:line="560" w:lineRule="exact"/>
        <w:ind w:firstLine="640" w:firstLineChars="200"/>
        <w:jc w:val="left"/>
        <w:rPr>
          <w:rFonts w:ascii="仿宋_GB2312" w:hAnsi="黑体" w:eastAsia="仿宋_GB2312"/>
          <w:sz w:val="32"/>
          <w:szCs w:val="32"/>
        </w:rPr>
      </w:pPr>
      <w:r>
        <w:rPr>
          <w:rStyle w:val="14"/>
          <w:rFonts w:hint="eastAsia" w:cs="Times New Roman"/>
          <w:b w:val="0"/>
          <w:bCs/>
          <w:kern w:val="0"/>
          <w:szCs w:val="32"/>
          <w:lang w:val="en-US" w:eastAsia="zh-CN" w:bidi="ar-SA"/>
        </w:rPr>
        <w:t>第十一条 限期警告整改。</w:t>
      </w:r>
      <w:r>
        <w:rPr>
          <w:rFonts w:ascii="仿宋_GB2312" w:hAnsi="黑体" w:eastAsia="仿宋_GB2312"/>
          <w:sz w:val="32"/>
          <w:szCs w:val="32"/>
        </w:rPr>
        <w:t>服务商出现以下情况之一，将对服务商予以警告</w:t>
      </w:r>
      <w:r>
        <w:rPr>
          <w:rFonts w:hint="eastAsia" w:ascii="仿宋_GB2312" w:hAnsi="黑体" w:eastAsia="仿宋_GB2312"/>
          <w:sz w:val="32"/>
          <w:szCs w:val="32"/>
          <w:lang w:val="en-US" w:eastAsia="zh-CN"/>
        </w:rPr>
        <w:t>，要求</w:t>
      </w:r>
      <w:r>
        <w:rPr>
          <w:rFonts w:ascii="仿宋_GB2312" w:hAnsi="黑体" w:eastAsia="仿宋_GB2312"/>
          <w:sz w:val="32"/>
          <w:szCs w:val="32"/>
        </w:rPr>
        <w:t>限期</w:t>
      </w:r>
      <w:r>
        <w:rPr>
          <w:rFonts w:hint="eastAsia" w:ascii="仿宋_GB2312" w:hAnsi="黑体" w:eastAsia="仿宋_GB2312"/>
          <w:sz w:val="32"/>
          <w:szCs w:val="32"/>
          <w:lang w:val="en-US" w:eastAsia="zh-CN"/>
        </w:rPr>
        <w:t>1个月内完成</w:t>
      </w:r>
      <w:r>
        <w:rPr>
          <w:rFonts w:ascii="仿宋_GB2312" w:hAnsi="黑体" w:eastAsia="仿宋_GB2312"/>
          <w:sz w:val="32"/>
          <w:szCs w:val="32"/>
        </w:rPr>
        <w:t>整改：</w:t>
      </w:r>
    </w:p>
    <w:p w14:paraId="74D83321">
      <w:pPr>
        <w:widowControl/>
        <w:spacing w:line="560" w:lineRule="exac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一</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评定等级为不合格的服务商；</w:t>
      </w:r>
    </w:p>
    <w:p w14:paraId="47731F7C">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黑体" w:eastAsia="仿宋_GB2312"/>
          <w:sz w:val="32"/>
          <w:szCs w:val="32"/>
        </w:rPr>
      </w:pP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color w:val="000000"/>
          <w:kern w:val="0"/>
          <w:sz w:val="32"/>
          <w:szCs w:val="32"/>
          <w:lang w:bidi="ar"/>
        </w:rPr>
        <w:t>）未按合同要求服务</w:t>
      </w:r>
      <w:r>
        <w:rPr>
          <w:rFonts w:hint="eastAsia" w:ascii="仿宋_GB2312" w:hAnsi="仿宋_GB2312" w:eastAsia="仿宋_GB2312" w:cs="仿宋_GB2312"/>
          <w:color w:val="000000"/>
          <w:kern w:val="0"/>
          <w:sz w:val="32"/>
          <w:szCs w:val="32"/>
          <w:lang w:eastAsia="zh-CN" w:bidi="ar"/>
        </w:rPr>
        <w:t>试点</w:t>
      </w:r>
      <w:r>
        <w:rPr>
          <w:rFonts w:hint="eastAsia" w:ascii="仿宋_GB2312" w:hAnsi="仿宋_GB2312" w:eastAsia="仿宋_GB2312" w:cs="仿宋_GB2312"/>
          <w:color w:val="000000"/>
          <w:kern w:val="0"/>
          <w:sz w:val="32"/>
          <w:szCs w:val="32"/>
          <w:lang w:bidi="ar"/>
        </w:rPr>
        <w:t>企业</w:t>
      </w:r>
      <w:r>
        <w:rPr>
          <w:rFonts w:hint="eastAsia" w:ascii="仿宋_GB2312" w:hAnsi="仿宋_GB2312" w:eastAsia="仿宋_GB2312" w:cs="仿宋_GB2312"/>
          <w:color w:val="000000"/>
          <w:kern w:val="0"/>
          <w:sz w:val="32"/>
          <w:szCs w:val="32"/>
          <w:lang w:eastAsia="zh-CN" w:bidi="ar"/>
        </w:rPr>
        <w:t>，</w:t>
      </w:r>
      <w:r>
        <w:rPr>
          <w:rFonts w:hint="eastAsia" w:ascii="仿宋_GB2312" w:hAnsi="黑体" w:eastAsia="仿宋_GB2312"/>
          <w:sz w:val="32"/>
          <w:szCs w:val="32"/>
        </w:rPr>
        <w:t>提供的</w:t>
      </w:r>
      <w:r>
        <w:rPr>
          <w:rFonts w:ascii="仿宋_GB2312" w:hAnsi="黑体" w:eastAsia="仿宋_GB2312"/>
          <w:sz w:val="32"/>
          <w:szCs w:val="32"/>
        </w:rPr>
        <w:t>解决方案和软件采购清单中</w:t>
      </w:r>
      <w:r>
        <w:rPr>
          <w:rFonts w:hint="eastAsia" w:ascii="仿宋_GB2312" w:hAnsi="黑体" w:eastAsia="仿宋_GB2312"/>
          <w:sz w:val="32"/>
          <w:szCs w:val="32"/>
        </w:rPr>
        <w:t>，</w:t>
      </w:r>
      <w:r>
        <w:rPr>
          <w:rFonts w:ascii="仿宋_GB2312" w:hAnsi="黑体" w:eastAsia="仿宋_GB2312"/>
          <w:sz w:val="32"/>
          <w:szCs w:val="32"/>
        </w:rPr>
        <w:t>项目</w:t>
      </w:r>
      <w:r>
        <w:rPr>
          <w:rFonts w:hint="eastAsia" w:ascii="仿宋_GB2312" w:hAnsi="黑体" w:eastAsia="仿宋_GB2312"/>
          <w:sz w:val="32"/>
          <w:szCs w:val="32"/>
        </w:rPr>
        <w:t>清单</w:t>
      </w:r>
      <w:r>
        <w:rPr>
          <w:rFonts w:ascii="仿宋_GB2312" w:hAnsi="黑体" w:eastAsia="仿宋_GB2312"/>
          <w:sz w:val="32"/>
          <w:szCs w:val="32"/>
        </w:rPr>
        <w:t>不完整，具体功能、用途和费用罗列不准确</w:t>
      </w:r>
      <w:r>
        <w:rPr>
          <w:rFonts w:hint="eastAsia" w:ascii="仿宋_GB2312" w:hAnsi="黑体" w:eastAsia="仿宋_GB2312"/>
          <w:sz w:val="32"/>
          <w:szCs w:val="32"/>
        </w:rPr>
        <w:t>，私自绑定专属产品，随意调整或者故意抬高</w:t>
      </w:r>
      <w:r>
        <w:rPr>
          <w:rFonts w:ascii="仿宋_GB2312" w:hAnsi="黑体" w:eastAsia="仿宋_GB2312"/>
          <w:sz w:val="32"/>
          <w:szCs w:val="32"/>
        </w:rPr>
        <w:t>标准化产品（服务）的同期市场价格</w:t>
      </w:r>
      <w:r>
        <w:rPr>
          <w:rFonts w:hint="eastAsia" w:ascii="仿宋_GB2312" w:hAnsi="黑体" w:eastAsia="仿宋_GB2312"/>
          <w:sz w:val="32"/>
          <w:szCs w:val="32"/>
        </w:rPr>
        <w:t>的；</w:t>
      </w:r>
    </w:p>
    <w:p w14:paraId="50A91146">
      <w:pPr>
        <w:widowControl/>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kern w:val="0"/>
          <w:sz w:val="32"/>
          <w:szCs w:val="32"/>
          <w:lang w:bidi="ar"/>
        </w:rPr>
        <w:t>）人员能力不足或团队配置不合理、服务不能满足</w:t>
      </w:r>
      <w:r>
        <w:rPr>
          <w:rFonts w:hint="eastAsia" w:ascii="仿宋_GB2312" w:hAnsi="仿宋_GB2312" w:eastAsia="仿宋_GB2312" w:cs="仿宋_GB2312"/>
          <w:color w:val="000000"/>
          <w:kern w:val="0"/>
          <w:sz w:val="32"/>
          <w:szCs w:val="32"/>
          <w:lang w:eastAsia="zh-CN" w:bidi="ar"/>
        </w:rPr>
        <w:t>试点</w:t>
      </w:r>
      <w:r>
        <w:rPr>
          <w:rFonts w:hint="eastAsia" w:ascii="仿宋_GB2312" w:hAnsi="仿宋_GB2312" w:eastAsia="仿宋_GB2312" w:cs="仿宋_GB2312"/>
          <w:color w:val="000000"/>
          <w:kern w:val="0"/>
          <w:sz w:val="32"/>
          <w:szCs w:val="32"/>
          <w:lang w:bidi="ar"/>
        </w:rPr>
        <w:t>企业需求、资料报送未按要求完成，</w:t>
      </w:r>
      <w:r>
        <w:rPr>
          <w:rFonts w:hint="eastAsia" w:ascii="仿宋_GB2312" w:hAnsi="仿宋_GB2312" w:eastAsia="仿宋_GB2312" w:cs="仿宋_GB2312"/>
          <w:color w:val="000000"/>
          <w:kern w:val="0"/>
          <w:sz w:val="32"/>
          <w:szCs w:val="32"/>
          <w:lang w:eastAsia="zh-CN" w:bidi="ar"/>
        </w:rPr>
        <w:t>造成试点企业投诉的</w:t>
      </w:r>
      <w:r>
        <w:rPr>
          <w:rFonts w:hint="eastAsia" w:ascii="仿宋_GB2312" w:hAnsi="仿宋_GB2312" w:eastAsia="仿宋_GB2312" w:cs="仿宋_GB2312"/>
          <w:color w:val="000000"/>
          <w:kern w:val="0"/>
          <w:sz w:val="32"/>
          <w:szCs w:val="32"/>
          <w:lang w:bidi="ar"/>
        </w:rPr>
        <w:t>；</w:t>
      </w:r>
    </w:p>
    <w:p w14:paraId="138C9DBC">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仿宋_GB2312" w:eastAsia="仿宋_GB2312"/>
          <w:color w:val="000000"/>
          <w:kern w:val="0"/>
          <w:sz w:val="32"/>
          <w:szCs w:val="32"/>
          <w:lang w:bidi="ar"/>
        </w:rPr>
      </w:pPr>
      <w:r>
        <w:rPr>
          <w:rFonts w:ascii="仿宋_GB2312" w:hAnsi="黑体" w:eastAsia="仿宋_GB2312"/>
          <w:sz w:val="32"/>
          <w:szCs w:val="32"/>
        </w:rPr>
        <w:t>（</w:t>
      </w:r>
      <w:r>
        <w:rPr>
          <w:rFonts w:hint="eastAsia" w:ascii="仿宋_GB2312" w:hAnsi="黑体" w:eastAsia="仿宋_GB2312"/>
          <w:sz w:val="32"/>
          <w:szCs w:val="32"/>
          <w:lang w:val="en-US" w:eastAsia="zh-CN"/>
        </w:rPr>
        <w:t>四</w:t>
      </w:r>
      <w:r>
        <w:rPr>
          <w:rFonts w:ascii="仿宋_GB2312" w:hAnsi="黑体" w:eastAsia="仿宋_GB2312"/>
          <w:sz w:val="32"/>
          <w:szCs w:val="32"/>
        </w:rPr>
        <w:t>）</w:t>
      </w:r>
      <w:r>
        <w:rPr>
          <w:rFonts w:hint="eastAsia" w:ascii="仿宋_GB2312" w:hAnsi="仿宋_GB2312" w:eastAsia="仿宋_GB2312"/>
          <w:color w:val="000000"/>
          <w:kern w:val="0"/>
          <w:sz w:val="32"/>
          <w:szCs w:val="32"/>
          <w:lang w:bidi="ar"/>
        </w:rPr>
        <w:t>泄露试点企业商业机密、核心技术或敏感信息，包括但不限于客户数据、产品设计、生产流程等；</w:t>
      </w:r>
    </w:p>
    <w:p w14:paraId="0A7FACE1">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仿宋_GB2312" w:eastAsia="仿宋_GB2312"/>
          <w:color w:val="000000"/>
          <w:kern w:val="0"/>
          <w:sz w:val="32"/>
          <w:szCs w:val="32"/>
          <w:lang w:bidi="ar"/>
        </w:rPr>
        <w:t>（</w:t>
      </w:r>
      <w:r>
        <w:rPr>
          <w:rFonts w:hint="eastAsia" w:ascii="仿宋_GB2312" w:hAnsi="仿宋_GB2312" w:eastAsia="仿宋_GB2312"/>
          <w:color w:val="000000"/>
          <w:kern w:val="0"/>
          <w:sz w:val="32"/>
          <w:szCs w:val="32"/>
          <w:lang w:val="en-US" w:eastAsia="zh-CN" w:bidi="ar"/>
        </w:rPr>
        <w:t>五</w:t>
      </w:r>
      <w:r>
        <w:rPr>
          <w:rFonts w:hint="eastAsia" w:ascii="仿宋_GB2312" w:hAnsi="仿宋_GB2312" w:eastAsia="仿宋_GB2312"/>
          <w:color w:val="000000"/>
          <w:kern w:val="0"/>
          <w:sz w:val="32"/>
          <w:szCs w:val="32"/>
          <w:lang w:bidi="ar"/>
        </w:rPr>
        <w:t>）与试点企业合作中获得不当经济或商业利益的；采取不正当竞争手段、损害试点企业或其他相关参与方利益的；</w:t>
      </w:r>
    </w:p>
    <w:p w14:paraId="0738CC58">
      <w:pPr>
        <w:pStyle w:val="10"/>
        <w:keepNext w:val="0"/>
        <w:keepLines w:val="0"/>
        <w:pageBreakBefore w:val="0"/>
        <w:widowControl/>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）进驻</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试点</w:t>
      </w:r>
      <w:r>
        <w:rPr>
          <w:rFonts w:hint="eastAsia" w:ascii="仿宋_GB2312" w:hAnsi="仿宋_GB2312" w:eastAsia="仿宋_GB2312" w:cs="仿宋_GB2312"/>
          <w:color w:val="000000" w:themeColor="text1"/>
          <w:sz w:val="32"/>
          <w:szCs w:val="32"/>
          <w:u w:val="none"/>
          <w14:textFill>
            <w14:solidFill>
              <w14:schemeClr w14:val="tx1"/>
            </w14:solidFill>
          </w14:textFill>
        </w:rPr>
        <w:t>企业不及时；资料报送不及时、不完整、不规范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等其他不配合试点工作行为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14:paraId="3198ADF6">
      <w:pPr>
        <w:widowControl/>
        <w:spacing w:line="560" w:lineRule="exact"/>
        <w:ind w:firstLine="640" w:firstLineChars="200"/>
        <w:rPr>
          <w:sz w:val="32"/>
          <w:szCs w:val="32"/>
          <w:highlight w:val="none"/>
        </w:rPr>
      </w:pPr>
      <w:r>
        <w:rPr>
          <w:rFonts w:hint="eastAsia" w:ascii="黑体" w:hAnsi="黑体" w:eastAsia="黑体" w:cs="黑体"/>
          <w:color w:val="000000"/>
          <w:sz w:val="32"/>
          <w:szCs w:val="32"/>
          <w:lang w:bidi="ar"/>
        </w:rPr>
        <w:t>第十</w:t>
      </w:r>
      <w:r>
        <w:rPr>
          <w:rFonts w:hint="eastAsia" w:ascii="黑体" w:hAnsi="黑体" w:eastAsia="黑体" w:cs="黑体"/>
          <w:color w:val="000000"/>
          <w:sz w:val="32"/>
          <w:szCs w:val="32"/>
          <w:lang w:val="en-US" w:eastAsia="zh-CN" w:bidi="ar"/>
        </w:rPr>
        <w:t>二</w:t>
      </w:r>
      <w:r>
        <w:rPr>
          <w:rFonts w:hint="eastAsia" w:ascii="黑体" w:hAnsi="黑体" w:eastAsia="黑体" w:cs="黑体"/>
          <w:color w:val="000000"/>
          <w:sz w:val="32"/>
          <w:szCs w:val="32"/>
          <w:lang w:bidi="ar"/>
        </w:rPr>
        <w:t xml:space="preserve">条 </w:t>
      </w:r>
      <w:r>
        <w:rPr>
          <w:rFonts w:hint="eastAsia" w:ascii="黑体" w:hAnsi="黑体" w:eastAsia="黑体" w:cs="黑体"/>
          <w:color w:val="000000"/>
          <w:sz w:val="32"/>
          <w:szCs w:val="32"/>
          <w:lang w:val="en-US" w:eastAsia="zh-CN" w:bidi="ar"/>
        </w:rPr>
        <w:t>取消试点资格。</w:t>
      </w:r>
      <w:r>
        <w:rPr>
          <w:rFonts w:ascii="仿宋_GB2312" w:hAnsi="黑体" w:eastAsia="仿宋_GB2312"/>
          <w:sz w:val="32"/>
          <w:szCs w:val="32"/>
          <w:highlight w:val="none"/>
        </w:rPr>
        <w:t>服务商出现以下情况之一，</w:t>
      </w:r>
      <w:r>
        <w:rPr>
          <w:rFonts w:hint="eastAsia" w:ascii="仿宋_GB2312" w:hAnsi="仿宋_GB2312" w:eastAsia="仿宋_GB2312" w:cs="仿宋_GB2312"/>
          <w:color w:val="000000"/>
          <w:kern w:val="0"/>
          <w:sz w:val="32"/>
          <w:szCs w:val="32"/>
          <w:highlight w:val="none"/>
          <w:lang w:bidi="ar"/>
        </w:rPr>
        <w:t>将取消其</w:t>
      </w:r>
      <w:r>
        <w:rPr>
          <w:rFonts w:hint="eastAsia" w:ascii="仿宋_GB2312" w:hAnsi="仿宋_GB2312" w:eastAsia="仿宋_GB2312" w:cs="仿宋_GB2312"/>
          <w:color w:val="000000"/>
          <w:kern w:val="0"/>
          <w:sz w:val="32"/>
          <w:szCs w:val="32"/>
          <w:highlight w:val="none"/>
          <w:lang w:val="en-US" w:eastAsia="zh-CN" w:bidi="ar"/>
        </w:rPr>
        <w:t>关于厦门市中小企业数字化转型试点城市服务试点工作资格，并进行通报</w:t>
      </w:r>
      <w:r>
        <w:rPr>
          <w:rFonts w:hint="eastAsia" w:ascii="仿宋_GB2312" w:hAnsi="仿宋_GB2312" w:eastAsia="仿宋_GB2312" w:cs="仿宋_GB2312"/>
          <w:color w:val="000000"/>
          <w:kern w:val="0"/>
          <w:sz w:val="32"/>
          <w:szCs w:val="32"/>
          <w:highlight w:val="none"/>
          <w:lang w:bidi="ar"/>
        </w:rPr>
        <w:t>：</w:t>
      </w:r>
    </w:p>
    <w:p w14:paraId="678E7E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（一）在入库申请或验收过程中提供虚假信息的</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存在骗补或采取不正当竞争手段等行为</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 xml:space="preserve">损害试点企业或其他相关参与方利益的； </w:t>
      </w:r>
    </w:p>
    <w:p w14:paraId="62DCA8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（二）在申请评定过程中存在干扰评定公平性行为的； </w:t>
      </w:r>
    </w:p>
    <w:p w14:paraId="7BD6BC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（三）入选试点工作数字化服务商后三个月内没有和企业签订数字化改造合同的；</w:t>
      </w:r>
    </w:p>
    <w:p w14:paraId="059073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四</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服务商被予以工作警告后未能按时完成整改工作，或整改后仍未实现成效的；</w:t>
      </w:r>
    </w:p>
    <w:p w14:paraId="4DEB7E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val="en-US" w:eastAsia="zh-CN" w:bidi="ar"/>
        </w:rPr>
        <w:t>五</w:t>
      </w:r>
      <w:r>
        <w:rPr>
          <w:rFonts w:hint="eastAsia" w:ascii="仿宋_GB2312" w:hAnsi="仿宋_GB2312" w:eastAsia="仿宋_GB2312" w:cs="仿宋_GB2312"/>
          <w:color w:val="000000"/>
          <w:kern w:val="0"/>
          <w:sz w:val="32"/>
          <w:szCs w:val="32"/>
          <w:highlight w:val="none"/>
          <w:lang w:bidi="ar"/>
        </w:rPr>
        <w:t>）超过</w:t>
      </w:r>
      <w:r>
        <w:rPr>
          <w:rFonts w:hint="eastAsia" w:ascii="仿宋_GB2312" w:hAnsi="仿宋_GB2312" w:eastAsia="仿宋_GB2312" w:cs="仿宋_GB2312"/>
          <w:color w:val="000000"/>
          <w:kern w:val="0"/>
          <w:sz w:val="32"/>
          <w:szCs w:val="32"/>
          <w:highlight w:val="none"/>
          <w:lang w:val="en-US" w:eastAsia="zh-CN" w:bidi="ar"/>
        </w:rPr>
        <w:t>30%</w:t>
      </w:r>
      <w:r>
        <w:rPr>
          <w:rFonts w:hint="eastAsia" w:ascii="仿宋_GB2312" w:hAnsi="仿宋_GB2312" w:eastAsia="仿宋_GB2312" w:cs="仿宋_GB2312"/>
          <w:color w:val="000000"/>
          <w:kern w:val="0"/>
          <w:sz w:val="32"/>
          <w:szCs w:val="32"/>
          <w:highlight w:val="none"/>
          <w:lang w:bidi="ar"/>
        </w:rPr>
        <w:t>试点企业满意度评价为“不满意”的；</w:t>
      </w:r>
    </w:p>
    <w:p w14:paraId="23C733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eastAsia="zh-CN" w:bidi="ar"/>
        </w:rPr>
      </w:pPr>
      <w:r>
        <w:rPr>
          <w:rFonts w:hint="eastAsia"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val="en-US" w:eastAsia="zh-CN" w:bidi="ar"/>
        </w:rPr>
        <w:t>六</w:t>
      </w:r>
      <w:r>
        <w:rPr>
          <w:rFonts w:hint="eastAsia" w:ascii="仿宋_GB2312" w:hAnsi="仿宋_GB2312" w:eastAsia="仿宋_GB2312" w:cs="仿宋_GB2312"/>
          <w:color w:val="000000"/>
          <w:kern w:val="0"/>
          <w:sz w:val="32"/>
          <w:szCs w:val="32"/>
          <w:highlight w:val="none"/>
          <w:lang w:bidi="ar"/>
        </w:rPr>
        <w:t>）试点企业</w:t>
      </w:r>
      <w:r>
        <w:rPr>
          <w:rFonts w:hint="eastAsia" w:ascii="仿宋_GB2312" w:hAnsi="仿宋_GB2312" w:eastAsia="仿宋_GB2312" w:cs="仿宋_GB2312"/>
          <w:color w:val="000000"/>
          <w:kern w:val="0"/>
          <w:sz w:val="32"/>
          <w:szCs w:val="32"/>
          <w:highlight w:val="none"/>
          <w:lang w:val="en-US" w:eastAsia="zh-CN" w:bidi="ar"/>
        </w:rPr>
        <w:t>当年度</w:t>
      </w:r>
      <w:r>
        <w:rPr>
          <w:rFonts w:hint="eastAsia" w:ascii="仿宋_GB2312" w:hAnsi="仿宋_GB2312" w:eastAsia="仿宋_GB2312" w:cs="仿宋_GB2312"/>
          <w:color w:val="000000"/>
          <w:kern w:val="0"/>
          <w:sz w:val="32"/>
          <w:szCs w:val="32"/>
          <w:highlight w:val="none"/>
          <w:lang w:bidi="ar"/>
        </w:rPr>
        <w:t>经整改后二级通过率未达到80%的；</w:t>
      </w:r>
    </w:p>
    <w:p w14:paraId="58F5F2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val="en-US" w:eastAsia="zh-CN" w:bidi="ar"/>
        </w:rPr>
        <w:t>七</w:t>
      </w:r>
      <w:r>
        <w:rPr>
          <w:rFonts w:hint="eastAsia" w:ascii="仿宋_GB2312" w:hAnsi="仿宋_GB2312" w:eastAsia="仿宋_GB2312" w:cs="仿宋_GB2312"/>
          <w:color w:val="000000"/>
          <w:kern w:val="0"/>
          <w:sz w:val="32"/>
          <w:szCs w:val="32"/>
          <w:highlight w:val="none"/>
          <w:lang w:bidi="ar"/>
        </w:rPr>
        <w:t>）存在相关违法违规行为的。</w:t>
      </w:r>
    </w:p>
    <w:p w14:paraId="2E2A7961">
      <w:pPr>
        <w:widowControl/>
        <w:spacing w:line="560" w:lineRule="exact"/>
        <w:ind w:firstLine="640" w:firstLineChars="200"/>
        <w:rPr>
          <w:rFonts w:hint="default" w:ascii="黑体" w:hAnsi="黑体" w:eastAsia="黑体" w:cs="黑体"/>
          <w:color w:val="000000"/>
          <w:sz w:val="32"/>
          <w:szCs w:val="32"/>
          <w:lang w:val="en-US" w:eastAsia="zh-CN" w:bidi="ar"/>
        </w:rPr>
      </w:pPr>
    </w:p>
    <w:p w14:paraId="576D7462">
      <w:pPr>
        <w:keepNext w:val="0"/>
        <w:keepLines w:val="0"/>
        <w:pageBreakBefore w:val="0"/>
        <w:kinsoku/>
        <w:wordWrap/>
        <w:overflowPunct/>
        <w:topLinePunct w:val="0"/>
        <w:bidi w:val="0"/>
        <w:snapToGrid/>
        <w:spacing w:line="560" w:lineRule="exact"/>
        <w:jc w:val="center"/>
        <w:textAlignment w:val="auto"/>
        <w:rPr>
          <w:rStyle w:val="13"/>
          <w:rFonts w:ascii="黑体" w:hAnsi="黑体" w:eastAsia="黑体" w:cs="黑体"/>
          <w:b w:val="0"/>
          <w:bCs/>
          <w:kern w:val="0"/>
          <w:sz w:val="32"/>
          <w:szCs w:val="32"/>
          <w:lang w:val="en" w:bidi="ar"/>
        </w:rPr>
      </w:pPr>
      <w:r>
        <w:rPr>
          <w:rStyle w:val="13"/>
          <w:rFonts w:hint="eastAsia" w:ascii="黑体" w:hAnsi="黑体" w:eastAsia="黑体" w:cs="黑体"/>
          <w:b w:val="0"/>
          <w:bCs/>
          <w:kern w:val="0"/>
          <w:sz w:val="32"/>
          <w:szCs w:val="32"/>
          <w:lang w:val="en" w:bidi="ar"/>
        </w:rPr>
        <w:t>第</w:t>
      </w:r>
      <w:r>
        <w:rPr>
          <w:rStyle w:val="13"/>
          <w:rFonts w:hint="eastAsia" w:ascii="黑体" w:hAnsi="黑体" w:eastAsia="黑体" w:cs="黑体"/>
          <w:b w:val="0"/>
          <w:bCs/>
          <w:kern w:val="0"/>
          <w:sz w:val="32"/>
          <w:szCs w:val="32"/>
          <w:lang w:val="en-US" w:eastAsia="zh-CN" w:bidi="ar"/>
        </w:rPr>
        <w:t>五</w:t>
      </w:r>
      <w:r>
        <w:rPr>
          <w:rStyle w:val="13"/>
          <w:rFonts w:hint="eastAsia" w:ascii="黑体" w:hAnsi="黑体" w:eastAsia="黑体" w:cs="黑体"/>
          <w:b w:val="0"/>
          <w:bCs/>
          <w:kern w:val="0"/>
          <w:sz w:val="32"/>
          <w:szCs w:val="32"/>
          <w:lang w:val="en" w:bidi="ar"/>
        </w:rPr>
        <w:t>章</w:t>
      </w:r>
      <w:r>
        <w:rPr>
          <w:rStyle w:val="13"/>
          <w:rFonts w:hint="eastAsia" w:ascii="黑体" w:hAnsi="黑体" w:eastAsia="黑体" w:cs="黑体"/>
          <w:b w:val="0"/>
          <w:bCs/>
          <w:kern w:val="0"/>
          <w:sz w:val="32"/>
          <w:szCs w:val="32"/>
          <w:lang w:bidi="ar"/>
        </w:rPr>
        <w:t xml:space="preserve">  </w:t>
      </w:r>
      <w:r>
        <w:rPr>
          <w:rStyle w:val="13"/>
          <w:rFonts w:hint="eastAsia" w:ascii="黑体" w:hAnsi="黑体" w:eastAsia="黑体" w:cs="黑体"/>
          <w:b w:val="0"/>
          <w:bCs/>
          <w:kern w:val="0"/>
          <w:sz w:val="32"/>
          <w:szCs w:val="32"/>
          <w:lang w:val="en" w:bidi="ar"/>
        </w:rPr>
        <w:t>附则</w:t>
      </w:r>
    </w:p>
    <w:p w14:paraId="698D3B34">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仿宋_GB2312" w:eastAsia="仿宋_GB2312"/>
          <w:color w:val="000000"/>
          <w:kern w:val="0"/>
          <w:sz w:val="32"/>
          <w:szCs w:val="32"/>
          <w:lang w:val="en" w:bidi="ar"/>
        </w:rPr>
      </w:pPr>
      <w:r>
        <w:rPr>
          <w:rFonts w:hint="eastAsia" w:ascii="黑体" w:hAnsi="黑体" w:eastAsia="黑体" w:cs="黑体"/>
          <w:color w:val="000000"/>
          <w:sz w:val="32"/>
          <w:szCs w:val="32"/>
          <w:lang w:val="en" w:bidi="ar"/>
        </w:rPr>
        <w:t>第十</w:t>
      </w:r>
      <w:r>
        <w:rPr>
          <w:rFonts w:hint="eastAsia" w:ascii="黑体" w:hAnsi="黑体" w:eastAsia="黑体" w:cs="黑体"/>
          <w:color w:val="000000"/>
          <w:sz w:val="32"/>
          <w:szCs w:val="32"/>
          <w:lang w:val="en-US" w:eastAsia="zh-CN" w:bidi="ar"/>
        </w:rPr>
        <w:t>三</w:t>
      </w:r>
      <w:r>
        <w:rPr>
          <w:rFonts w:hint="eastAsia" w:ascii="黑体" w:hAnsi="黑体" w:eastAsia="黑体" w:cs="黑体"/>
          <w:color w:val="000000"/>
          <w:sz w:val="32"/>
          <w:szCs w:val="32"/>
          <w:lang w:val="en" w:bidi="ar"/>
        </w:rPr>
        <w:t>条</w:t>
      </w:r>
      <w:r>
        <w:rPr>
          <w:rFonts w:hint="eastAsia" w:ascii="仿宋_GB2312" w:hAnsi="仿宋_GB2312" w:eastAsia="仿宋_GB2312"/>
          <w:color w:val="000000"/>
          <w:kern w:val="0"/>
          <w:sz w:val="32"/>
          <w:szCs w:val="32"/>
          <w:lang w:bidi="ar"/>
        </w:rPr>
        <w:t xml:space="preserve"> </w:t>
      </w:r>
      <w:r>
        <w:rPr>
          <w:rFonts w:hint="eastAsia" w:ascii="仿宋_GB2312" w:hAnsi="仿宋_GB2312" w:eastAsia="仿宋_GB2312"/>
          <w:color w:val="000000"/>
          <w:kern w:val="0"/>
          <w:sz w:val="32"/>
          <w:szCs w:val="32"/>
          <w:lang w:val="en" w:bidi="ar"/>
        </w:rPr>
        <w:t>本办法由</w:t>
      </w:r>
      <w:r>
        <w:rPr>
          <w:rFonts w:hint="eastAsia" w:ascii="仿宋_GB2312" w:hAnsi="仿宋_GB2312" w:eastAsia="仿宋_GB2312"/>
          <w:color w:val="000000"/>
          <w:kern w:val="0"/>
          <w:sz w:val="32"/>
          <w:szCs w:val="32"/>
          <w:lang w:val="en-US" w:eastAsia="zh-CN" w:bidi="ar"/>
        </w:rPr>
        <w:t>厦门</w:t>
      </w:r>
      <w:r>
        <w:rPr>
          <w:rFonts w:hint="eastAsia" w:ascii="仿宋_GB2312" w:hAnsi="仿宋_GB2312" w:eastAsia="仿宋_GB2312"/>
          <w:color w:val="000000"/>
          <w:kern w:val="0"/>
          <w:sz w:val="32"/>
          <w:szCs w:val="32"/>
          <w:lang w:val="en" w:bidi="ar"/>
        </w:rPr>
        <w:t>市工业和信息化局负责解释，并根据工作开展情况适时进行修订。</w:t>
      </w:r>
    </w:p>
    <w:p w14:paraId="69A16E31">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仿宋_GB2312" w:eastAsia="仿宋_GB2312"/>
          <w:color w:val="000000"/>
          <w:kern w:val="0"/>
          <w:sz w:val="32"/>
          <w:szCs w:val="32"/>
          <w:lang w:val="en" w:bidi="ar"/>
        </w:rPr>
      </w:pPr>
      <w:r>
        <w:rPr>
          <w:rFonts w:hint="eastAsia" w:ascii="黑体" w:hAnsi="黑体" w:eastAsia="黑体" w:cs="黑体"/>
          <w:color w:val="000000"/>
          <w:sz w:val="32"/>
          <w:szCs w:val="32"/>
          <w:lang w:val="en" w:bidi="ar"/>
        </w:rPr>
        <w:t>第十</w:t>
      </w:r>
      <w:r>
        <w:rPr>
          <w:rFonts w:hint="eastAsia" w:ascii="黑体" w:hAnsi="黑体" w:eastAsia="黑体" w:cs="黑体"/>
          <w:color w:val="000000"/>
          <w:sz w:val="32"/>
          <w:szCs w:val="32"/>
          <w:lang w:val="en-US" w:eastAsia="zh-CN" w:bidi="ar"/>
        </w:rPr>
        <w:t>四</w:t>
      </w:r>
      <w:r>
        <w:rPr>
          <w:rFonts w:hint="eastAsia" w:ascii="黑体" w:hAnsi="黑体" w:eastAsia="黑体" w:cs="黑体"/>
          <w:color w:val="000000"/>
          <w:sz w:val="32"/>
          <w:szCs w:val="32"/>
          <w:lang w:val="en" w:bidi="ar"/>
        </w:rPr>
        <w:t>条</w:t>
      </w:r>
      <w:r>
        <w:rPr>
          <w:rFonts w:hint="eastAsia" w:ascii="仿宋_GB2312" w:hAnsi="仿宋_GB2312" w:eastAsia="仿宋_GB2312"/>
          <w:color w:val="000000"/>
          <w:kern w:val="0"/>
          <w:sz w:val="32"/>
          <w:szCs w:val="32"/>
          <w:lang w:bidi="ar"/>
        </w:rPr>
        <w:t xml:space="preserve"> </w:t>
      </w:r>
      <w:r>
        <w:rPr>
          <w:rFonts w:hint="eastAsia" w:ascii="仿宋_GB2312" w:hAnsi="仿宋_GB2312" w:eastAsia="仿宋_GB2312"/>
          <w:color w:val="000000"/>
          <w:kern w:val="0"/>
          <w:sz w:val="32"/>
          <w:szCs w:val="32"/>
          <w:lang w:val="en" w:bidi="ar"/>
        </w:rPr>
        <w:t>本办法自发布之日起施行。有效期至</w:t>
      </w:r>
      <w:r>
        <w:rPr>
          <w:rFonts w:hint="eastAsia" w:ascii="仿宋_GB2312" w:hAnsi="仿宋_GB2312" w:eastAsia="仿宋_GB2312" w:cs="仿宋_GB2312"/>
          <w:b w:val="0"/>
          <w:bCs w:val="0"/>
          <w:color w:val="000000"/>
          <w:kern w:val="0"/>
          <w:sz w:val="32"/>
          <w:szCs w:val="32"/>
          <w:lang w:val="en-US" w:eastAsia="zh-CN"/>
        </w:rPr>
        <w:t>试点城市工作</w:t>
      </w:r>
      <w:r>
        <w:rPr>
          <w:rFonts w:hint="eastAsia" w:ascii="仿宋_GB2312" w:hAnsi="仿宋_GB2312" w:eastAsia="仿宋_GB2312"/>
          <w:color w:val="000000"/>
          <w:kern w:val="0"/>
          <w:sz w:val="32"/>
          <w:szCs w:val="32"/>
          <w:lang w:val="en" w:bidi="ar"/>
        </w:rPr>
        <w:t>结束。</w:t>
      </w:r>
    </w:p>
    <w:p w14:paraId="0C7839EC">
      <w:r>
        <w:br w:type="page"/>
      </w:r>
    </w:p>
    <w:p w14:paraId="343291FE">
      <w:pPr>
        <w:pStyle w:val="4"/>
        <w:ind w:firstLine="0" w:firstLineChars="0"/>
        <w:jc w:val="left"/>
        <w:rPr>
          <w:rFonts w:ascii="Arial"/>
          <w:sz w:val="21"/>
          <w:highlight w:val="none"/>
        </w:rPr>
      </w:pPr>
      <w:r>
        <w:rPr>
          <w:rFonts w:hint="eastAsia" w:ascii="黑体" w:hAnsi="黑体" w:eastAsia="黑体" w:cs="黑体"/>
          <w:color w:val="000000" w:themeColor="text1"/>
          <w:szCs w:val="32"/>
          <w:highlight w:val="none"/>
          <w:lang w:val="en-US" w:eastAsia="zh-CN"/>
          <w14:textFill>
            <w14:solidFill>
              <w14:schemeClr w14:val="tx1"/>
            </w14:solidFill>
          </w14:textFill>
        </w:rPr>
        <w:t>附件</w:t>
      </w:r>
    </w:p>
    <w:p w14:paraId="420B70C6">
      <w:pPr>
        <w:pStyle w:val="4"/>
        <w:ind w:firstLine="0" w:firstLineChars="0"/>
        <w:jc w:val="center"/>
        <w:rPr>
          <w:rFonts w:hint="default" w:ascii="Times New Roman" w:hAnsi="Times New Roman" w:eastAsia="方正小标宋简体"/>
          <w:color w:val="000000" w:themeColor="text1"/>
          <w:sz w:val="40"/>
          <w:szCs w:val="40"/>
          <w:highlight w:val="none"/>
          <w:lang w:val="en-US" w:eastAsia="zh-CN"/>
          <w14:textFill>
            <w14:solidFill>
              <w14:schemeClr w14:val="tx1"/>
            </w14:solidFill>
          </w14:textFill>
        </w:rPr>
      </w:pPr>
      <w:r>
        <w:rPr>
          <w:rFonts w:hint="eastAsia" w:ascii="Times New Roman" w:hAnsi="Times New Roman" w:eastAsia="方正小标宋简体"/>
          <w:color w:val="000000" w:themeColor="text1"/>
          <w:sz w:val="40"/>
          <w:szCs w:val="40"/>
          <w:highlight w:val="none"/>
          <w:lang w:val="en-US" w:eastAsia="zh-CN"/>
          <w14:textFill>
            <w14:solidFill>
              <w14:schemeClr w14:val="tx1"/>
            </w14:solidFill>
          </w14:textFill>
        </w:rPr>
        <w:t>厦门市中小企业数字化转型试点城市工作</w:t>
      </w:r>
    </w:p>
    <w:p w14:paraId="13D7F473">
      <w:pPr>
        <w:pStyle w:val="4"/>
        <w:ind w:firstLine="0" w:firstLineChars="0"/>
        <w:jc w:val="center"/>
        <w:rPr>
          <w:rFonts w:hint="eastAsia" w:ascii="Times New Roman" w:hAnsi="Times New Roman" w:eastAsia="方正小标宋简体"/>
          <w:color w:val="000000" w:themeColor="text1"/>
          <w:sz w:val="40"/>
          <w:szCs w:val="40"/>
          <w:highlight w:val="none"/>
          <w:lang w:val="en-US" w:eastAsia="zh-CN"/>
          <w14:textFill>
            <w14:solidFill>
              <w14:schemeClr w14:val="tx1"/>
            </w14:solidFill>
          </w14:textFill>
        </w:rPr>
      </w:pPr>
      <w:r>
        <w:rPr>
          <w:rFonts w:hint="eastAsia" w:ascii="Times New Roman" w:hAnsi="Times New Roman" w:eastAsia="方正小标宋简体"/>
          <w:color w:val="000000" w:themeColor="text1"/>
          <w:sz w:val="40"/>
          <w:szCs w:val="40"/>
          <w:highlight w:val="none"/>
          <w:lang w:val="en-US" w:eastAsia="zh-CN"/>
          <w14:textFill>
            <w14:solidFill>
              <w14:schemeClr w14:val="tx1"/>
            </w14:solidFill>
          </w14:textFill>
        </w:rPr>
        <w:t>服务商评价标准</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176"/>
        <w:gridCol w:w="696"/>
        <w:gridCol w:w="4774"/>
        <w:gridCol w:w="697"/>
      </w:tblGrid>
      <w:tr w14:paraId="1146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523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一级指标</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56C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二级指标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5C8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2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20A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计算方法</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3D3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r>
      <w:tr w14:paraId="5048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ED19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服务企业情况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（25分）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66E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企业已签约立项数量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3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BD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通过厦门市中小企业数字化转型公共服务平台，服务商与试点企业完成签约立项的数量予以统计赋分：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·服务商与试点企业签约立项数量≥25家，得</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·20家≤服务商与试点企业签约立项数量＜25家，得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·15家≤服务商与试点企业签约立项数量＜20家，得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·10家≤服务商与试点企业签约立项数量＜15家，得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·5家≤服务商与试点企业签约立项数量＜10家，得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·服务商与试点企业签约立项数量＜5家，不得分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CCB">
            <w:pPr>
              <w:jc w:val="both"/>
              <w:rPr>
                <w:rFonts w:hint="eastAsia" w:ascii="宋体" w:hAnsi="宋体" w:eastAsia="宋体" w:cs="宋体"/>
                <w:i w:val="0"/>
                <w:iCs w:val="0"/>
                <w:color w:val="000000"/>
                <w:sz w:val="24"/>
                <w:szCs w:val="24"/>
                <w:u w:val="none"/>
              </w:rPr>
            </w:pPr>
          </w:p>
        </w:tc>
      </w:tr>
      <w:tr w14:paraId="648A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99BC3">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DE1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企业改造验收</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如期完成情况</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7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15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服务商与试点企业启动改造后，根据企业改造验收如期完成率予以赋分：（完成率=实际按期完成验收企业数量/实际签约立项企业数量*100%）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·完成率≥90%，得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·80%≤完成率＜90%，得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·70%≤完成率＜80%，得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·60%≤完成率＜70%，得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·完成率＜</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0%，不得分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8043">
            <w:pPr>
              <w:jc w:val="both"/>
              <w:rPr>
                <w:rFonts w:hint="eastAsia" w:ascii="宋体" w:hAnsi="宋体" w:eastAsia="宋体" w:cs="宋体"/>
                <w:i w:val="0"/>
                <w:iCs w:val="0"/>
                <w:color w:val="000000"/>
                <w:sz w:val="24"/>
                <w:szCs w:val="24"/>
                <w:u w:val="none"/>
              </w:rPr>
            </w:pPr>
          </w:p>
        </w:tc>
      </w:tr>
      <w:tr w14:paraId="4CEA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D1614">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700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企业改造验收</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二级通过情况</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7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C9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服务商与试点企业启动改造后，根据试点企业改造验收等级满足二级及以上的通过率予以赋分：（通过率=实际验收通过二级及以上企业数量/实际签约立项企业数量*100%）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·通过率100%，得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·90%≤通过率＜100%，得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·80%≤通过率＜90%，得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·通过率＜80%，不得分（如整改后通过率仍未达到80%以上，按“取消服务商资格”处理）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1BA">
            <w:pPr>
              <w:jc w:val="both"/>
              <w:rPr>
                <w:rFonts w:hint="eastAsia" w:ascii="宋体" w:hAnsi="宋体" w:eastAsia="宋体" w:cs="宋体"/>
                <w:i w:val="0"/>
                <w:iCs w:val="0"/>
                <w:color w:val="000000"/>
                <w:sz w:val="24"/>
                <w:szCs w:val="24"/>
                <w:u w:val="none"/>
              </w:rPr>
            </w:pPr>
          </w:p>
        </w:tc>
      </w:tr>
      <w:tr w14:paraId="5909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07A27">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80E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服务商让利情况</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3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22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1.价格让利。服务商实际价格履行申报时所做出的让利承诺的，其余视情况得1-2分；未履行价格承诺的，不得分。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2.增值服务。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（1）能提供人才培训、延长服务周期等相关增值服务，较同类产品让利力度大的，得1分；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（2）能提供相关增值服务，较同类产品让利力度一般的，得1分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3.其他情况。上述情况外，能额外提供让利服务或整体让利幅度大的，视情况得0-1分。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09D5">
            <w:pPr>
              <w:jc w:val="both"/>
              <w:rPr>
                <w:rFonts w:hint="eastAsia" w:ascii="宋体" w:hAnsi="宋体" w:eastAsia="宋体" w:cs="宋体"/>
                <w:i w:val="0"/>
                <w:iCs w:val="0"/>
                <w:color w:val="000000"/>
                <w:sz w:val="24"/>
                <w:szCs w:val="24"/>
                <w:u w:val="none"/>
              </w:rPr>
            </w:pPr>
          </w:p>
        </w:tc>
      </w:tr>
      <w:tr w14:paraId="1DA3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09D5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产品服务能力</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（25分）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EFA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服务商产品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9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EA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经公共服务平台审核发布的“小快轻准”产品数量：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产品数量≥8个，得8分。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6个≤产品数量＜8个，得6分。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4个≤产品数量＜6个，得4分。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2个≤产品数量＜4个，得2分。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产品数量＜2个，不得分。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8B63">
            <w:pPr>
              <w:jc w:val="both"/>
              <w:rPr>
                <w:rFonts w:hint="eastAsia" w:ascii="宋体" w:hAnsi="宋体" w:eastAsia="宋体" w:cs="宋体"/>
                <w:i w:val="0"/>
                <w:iCs w:val="0"/>
                <w:color w:val="000000"/>
                <w:sz w:val="24"/>
                <w:szCs w:val="24"/>
                <w:u w:val="none"/>
              </w:rPr>
            </w:pPr>
          </w:p>
        </w:tc>
      </w:tr>
      <w:tr w14:paraId="3238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DD19">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0A0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服务商产品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覆盖场景</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6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69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经公共服务平台审核发布的“小快轻准”产品，根据工信部发布的《中小企业数字化水平评测指标（最新版）》中中小企业数字化转型应用场景进行划分界定：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·产品场景≥5个，得8分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·产品场景4个，得6分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·产品场景3个，得4分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·产品场景2个，得2分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·产品场景低于2个，不得分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ED4C">
            <w:pPr>
              <w:jc w:val="both"/>
              <w:rPr>
                <w:rFonts w:hint="eastAsia" w:ascii="宋体" w:hAnsi="宋体" w:eastAsia="宋体" w:cs="宋体"/>
                <w:i w:val="0"/>
                <w:iCs w:val="0"/>
                <w:color w:val="000000"/>
                <w:sz w:val="24"/>
                <w:szCs w:val="24"/>
                <w:u w:val="none"/>
              </w:rPr>
            </w:pPr>
          </w:p>
        </w:tc>
      </w:tr>
      <w:tr w14:paraId="6012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BFB16">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AD7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服务商产品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复制推广能力</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9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BE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除本次试点行业之外，鼓励服务商发布面向其他行业的通用型数字化转型解决方案及对应案例，实现产品或解决方案带动本市其他行业复制推广。经公共服务平台审核发布的“其他行业典型案例及产品”数量：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典型案例数量≥5个，得5分。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典型案例数量4个，得4分。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典型案例数量3个，得3分。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典型案例数量2个，得2分。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典型案例数量1个，得1分。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没有典型案例数量，不得分。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6059">
            <w:pPr>
              <w:jc w:val="both"/>
              <w:rPr>
                <w:rFonts w:hint="eastAsia" w:ascii="宋体" w:hAnsi="宋体" w:eastAsia="宋体" w:cs="宋体"/>
                <w:i w:val="0"/>
                <w:iCs w:val="0"/>
                <w:color w:val="000000"/>
                <w:sz w:val="24"/>
                <w:szCs w:val="24"/>
                <w:u w:val="none"/>
              </w:rPr>
            </w:pPr>
          </w:p>
        </w:tc>
      </w:tr>
      <w:tr w14:paraId="5FEB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7D88">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986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服务商产品持续运维升级能力</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2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B5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服务商在与试点企业签订的合同中，对产品与服务质量、迭代升级、运营维保等提出明确约定要求的，按签约企业的平均时限予以赋分：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·合同中承诺持续升级、运营维保时限≥3年，得4分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·2年≤合同中承诺持续升级、运营维保时限＜3年，得3分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·1年≤合同中承诺持续升级、运营维保时限＜2年，得2分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·6个月≤合同中承诺持续升级、运营维保时限＜1年，得1分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·合同中承诺持续升级、运营维保时限＜6个月或没有相关条款的，不得分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688E">
            <w:pPr>
              <w:jc w:val="both"/>
              <w:rPr>
                <w:rFonts w:hint="eastAsia" w:ascii="宋体" w:hAnsi="宋体" w:eastAsia="宋体" w:cs="宋体"/>
                <w:i w:val="0"/>
                <w:iCs w:val="0"/>
                <w:color w:val="000000"/>
                <w:sz w:val="24"/>
                <w:szCs w:val="24"/>
                <w:u w:val="none"/>
              </w:rPr>
            </w:pPr>
          </w:p>
        </w:tc>
      </w:tr>
      <w:tr w14:paraId="49A5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F169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工作实效评价</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（30分）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E70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服务商服务态度</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评价</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B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29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试点企业在完成改造后，在厦门市中小企业数字化转型公共服务平台上对服务商服务过程中的</w:t>
            </w:r>
            <w:r>
              <w:rPr>
                <w:rFonts w:hint="eastAsia" w:ascii="宋体" w:hAnsi="宋体" w:eastAsia="宋体" w:cs="宋体"/>
                <w:b/>
                <w:bCs/>
                <w:i w:val="0"/>
                <w:iCs w:val="0"/>
                <w:color w:val="000000"/>
                <w:kern w:val="0"/>
                <w:sz w:val="24"/>
                <w:szCs w:val="24"/>
                <w:u w:val="none"/>
                <w:lang w:val="en-US" w:eastAsia="zh-CN" w:bidi="ar"/>
              </w:rPr>
              <w:t>服务配合度、服务专业性</w:t>
            </w:r>
            <w:r>
              <w:rPr>
                <w:rStyle w:val="22"/>
                <w:lang w:val="en-US" w:eastAsia="zh-CN" w:bidi="ar"/>
              </w:rPr>
              <w:t>等内容进行综合打分，打分情况将作为赋分依据。</w:t>
            </w:r>
            <w:r>
              <w:rPr>
                <w:rStyle w:val="22"/>
                <w:lang w:val="en-US" w:eastAsia="zh-CN" w:bidi="ar"/>
              </w:rPr>
              <w:br w:type="textWrapping"/>
            </w:r>
            <w:r>
              <w:rPr>
                <w:rStyle w:val="22"/>
                <w:lang w:val="en-US" w:eastAsia="zh-CN" w:bidi="ar"/>
              </w:rPr>
              <w:t>·服务态度评价得分为5分，得5分</w:t>
            </w:r>
            <w:r>
              <w:rPr>
                <w:rStyle w:val="22"/>
                <w:lang w:val="en-US" w:eastAsia="zh-CN" w:bidi="ar"/>
              </w:rPr>
              <w:br w:type="textWrapping"/>
            </w:r>
            <w:r>
              <w:rPr>
                <w:rStyle w:val="22"/>
                <w:lang w:val="en-US" w:eastAsia="zh-CN" w:bidi="ar"/>
              </w:rPr>
              <w:t>·4分≤服务态度评价得分＜5分，得4分</w:t>
            </w:r>
            <w:r>
              <w:rPr>
                <w:rStyle w:val="22"/>
                <w:lang w:val="en-US" w:eastAsia="zh-CN" w:bidi="ar"/>
              </w:rPr>
              <w:br w:type="textWrapping"/>
            </w:r>
            <w:r>
              <w:rPr>
                <w:rStyle w:val="22"/>
                <w:lang w:val="en-US" w:eastAsia="zh-CN" w:bidi="ar"/>
              </w:rPr>
              <w:t>·3分≤服务态度评价得分＜4分，得3分</w:t>
            </w:r>
            <w:r>
              <w:rPr>
                <w:rStyle w:val="22"/>
                <w:lang w:val="en-US" w:eastAsia="zh-CN" w:bidi="ar"/>
              </w:rPr>
              <w:br w:type="textWrapping"/>
            </w:r>
            <w:r>
              <w:rPr>
                <w:rStyle w:val="22"/>
                <w:lang w:val="en-US" w:eastAsia="zh-CN" w:bidi="ar"/>
              </w:rPr>
              <w:t>·2分≤服务态度评价得分＜3分，得2分</w:t>
            </w:r>
            <w:r>
              <w:rPr>
                <w:rStyle w:val="22"/>
                <w:lang w:val="en-US" w:eastAsia="zh-CN" w:bidi="ar"/>
              </w:rPr>
              <w:br w:type="textWrapping"/>
            </w:r>
            <w:r>
              <w:rPr>
                <w:rStyle w:val="22"/>
                <w:lang w:val="en-US" w:eastAsia="zh-CN" w:bidi="ar"/>
              </w:rPr>
              <w:t>·1分≤服务态度评价得分＜2分，得1分</w:t>
            </w:r>
            <w:r>
              <w:rPr>
                <w:rStyle w:val="22"/>
                <w:lang w:val="en-US" w:eastAsia="zh-CN" w:bidi="ar"/>
              </w:rPr>
              <w:br w:type="textWrapping"/>
            </w:r>
            <w:r>
              <w:rPr>
                <w:rStyle w:val="22"/>
                <w:lang w:val="en-US" w:eastAsia="zh-CN" w:bidi="ar"/>
              </w:rPr>
              <w:t>·服务态度评价得分＜1分，不得分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B76A">
            <w:pPr>
              <w:jc w:val="both"/>
              <w:rPr>
                <w:rFonts w:hint="eastAsia" w:ascii="宋体" w:hAnsi="宋体" w:eastAsia="宋体" w:cs="宋体"/>
                <w:i w:val="0"/>
                <w:iCs w:val="0"/>
                <w:color w:val="000000"/>
                <w:sz w:val="24"/>
                <w:szCs w:val="24"/>
                <w:u w:val="none"/>
              </w:rPr>
            </w:pPr>
          </w:p>
        </w:tc>
      </w:tr>
      <w:tr w14:paraId="182F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3B7D">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94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服务商响应速度</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评价</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1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88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试点企业在完成改造后，在厦门市中小企业数字化转型公共服务平台上对服务商服务过程中的</w:t>
            </w:r>
            <w:r>
              <w:rPr>
                <w:rFonts w:hint="eastAsia" w:ascii="宋体" w:hAnsi="宋体" w:eastAsia="宋体" w:cs="宋体"/>
                <w:b/>
                <w:bCs/>
                <w:i w:val="0"/>
                <w:iCs w:val="0"/>
                <w:color w:val="000000"/>
                <w:kern w:val="0"/>
                <w:sz w:val="24"/>
                <w:szCs w:val="24"/>
                <w:u w:val="none"/>
                <w:lang w:val="en-US" w:eastAsia="zh-CN" w:bidi="ar"/>
              </w:rPr>
              <w:t>响应速度、沟通效率、解决问题效率</w:t>
            </w:r>
            <w:r>
              <w:rPr>
                <w:rStyle w:val="22"/>
                <w:lang w:val="en-US" w:eastAsia="zh-CN" w:bidi="ar"/>
              </w:rPr>
              <w:t>等内容进行综合打分，打分情况将作为赋分依据。</w:t>
            </w:r>
            <w:r>
              <w:rPr>
                <w:rStyle w:val="22"/>
                <w:lang w:val="en-US" w:eastAsia="zh-CN" w:bidi="ar"/>
              </w:rPr>
              <w:br w:type="textWrapping"/>
            </w:r>
            <w:r>
              <w:rPr>
                <w:rStyle w:val="22"/>
                <w:lang w:val="en-US" w:eastAsia="zh-CN" w:bidi="ar"/>
              </w:rPr>
              <w:t>·响应速度评价得分为5分，得5分</w:t>
            </w:r>
            <w:r>
              <w:rPr>
                <w:rStyle w:val="22"/>
                <w:lang w:val="en-US" w:eastAsia="zh-CN" w:bidi="ar"/>
              </w:rPr>
              <w:br w:type="textWrapping"/>
            </w:r>
            <w:r>
              <w:rPr>
                <w:rStyle w:val="22"/>
                <w:lang w:val="en-US" w:eastAsia="zh-CN" w:bidi="ar"/>
              </w:rPr>
              <w:t>·4分≤响应速度评价得分＜5分，得4分</w:t>
            </w:r>
            <w:r>
              <w:rPr>
                <w:rStyle w:val="22"/>
                <w:lang w:val="en-US" w:eastAsia="zh-CN" w:bidi="ar"/>
              </w:rPr>
              <w:br w:type="textWrapping"/>
            </w:r>
            <w:r>
              <w:rPr>
                <w:rStyle w:val="22"/>
                <w:lang w:val="en-US" w:eastAsia="zh-CN" w:bidi="ar"/>
              </w:rPr>
              <w:t>·3分≤响应速度评价得分＜4分，得3分</w:t>
            </w:r>
            <w:r>
              <w:rPr>
                <w:rStyle w:val="22"/>
                <w:lang w:val="en-US" w:eastAsia="zh-CN" w:bidi="ar"/>
              </w:rPr>
              <w:br w:type="textWrapping"/>
            </w:r>
            <w:r>
              <w:rPr>
                <w:rStyle w:val="22"/>
                <w:lang w:val="en-US" w:eastAsia="zh-CN" w:bidi="ar"/>
              </w:rPr>
              <w:t>·2分≤响应速度评价得分＜3分，得2分</w:t>
            </w:r>
            <w:r>
              <w:rPr>
                <w:rStyle w:val="22"/>
                <w:lang w:val="en-US" w:eastAsia="zh-CN" w:bidi="ar"/>
              </w:rPr>
              <w:br w:type="textWrapping"/>
            </w:r>
            <w:r>
              <w:rPr>
                <w:rStyle w:val="22"/>
                <w:lang w:val="en-US" w:eastAsia="zh-CN" w:bidi="ar"/>
              </w:rPr>
              <w:t>·1分≤响应速度评价得分＜2分，得1分</w:t>
            </w:r>
            <w:r>
              <w:rPr>
                <w:rStyle w:val="22"/>
                <w:lang w:val="en-US" w:eastAsia="zh-CN" w:bidi="ar"/>
              </w:rPr>
              <w:br w:type="textWrapping"/>
            </w:r>
            <w:r>
              <w:rPr>
                <w:rStyle w:val="22"/>
                <w:lang w:val="en-US" w:eastAsia="zh-CN" w:bidi="ar"/>
              </w:rPr>
              <w:t>·响应速度评价得分＜1分，不得分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9B0C">
            <w:pPr>
              <w:jc w:val="both"/>
              <w:rPr>
                <w:rFonts w:hint="eastAsia" w:ascii="宋体" w:hAnsi="宋体" w:eastAsia="宋体" w:cs="宋体"/>
                <w:i w:val="0"/>
                <w:iCs w:val="0"/>
                <w:color w:val="000000"/>
                <w:sz w:val="24"/>
                <w:szCs w:val="24"/>
                <w:u w:val="none"/>
              </w:rPr>
            </w:pPr>
          </w:p>
        </w:tc>
      </w:tr>
      <w:tr w14:paraId="5D93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C126D">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52F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服务商改造成效</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评价</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（企业评价服务商）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4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A8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试点企业在完成改造后，在厦门市中小企业数字化转型公共服务平台上对服务商改造完成后的</w:t>
            </w:r>
            <w:r>
              <w:rPr>
                <w:rFonts w:hint="eastAsia" w:ascii="宋体" w:hAnsi="宋体" w:eastAsia="宋体" w:cs="宋体"/>
                <w:b/>
                <w:bCs/>
                <w:i w:val="0"/>
                <w:iCs w:val="0"/>
                <w:color w:val="000000"/>
                <w:kern w:val="0"/>
                <w:sz w:val="24"/>
                <w:szCs w:val="24"/>
                <w:u w:val="none"/>
                <w:lang w:val="en-US" w:eastAsia="zh-CN" w:bidi="ar"/>
              </w:rPr>
              <w:t>数字化转型综合成效</w:t>
            </w:r>
            <w:r>
              <w:rPr>
                <w:rStyle w:val="22"/>
                <w:lang w:val="en-US" w:eastAsia="zh-CN" w:bidi="ar"/>
              </w:rPr>
              <w:t>等内容进行综合打分，打分情况将作为赋分依据。</w:t>
            </w:r>
            <w:r>
              <w:rPr>
                <w:rStyle w:val="22"/>
                <w:lang w:val="en-US" w:eastAsia="zh-CN" w:bidi="ar"/>
              </w:rPr>
              <w:br w:type="textWrapping"/>
            </w:r>
            <w:r>
              <w:rPr>
                <w:rStyle w:val="22"/>
                <w:lang w:val="en-US" w:eastAsia="zh-CN" w:bidi="ar"/>
              </w:rPr>
              <w:t>·改造成效评价得分为5分，得</w:t>
            </w:r>
            <w:r>
              <w:rPr>
                <w:rStyle w:val="22"/>
                <w:rFonts w:hint="eastAsia"/>
                <w:lang w:val="en-US" w:eastAsia="zh-CN" w:bidi="ar"/>
              </w:rPr>
              <w:t>10</w:t>
            </w:r>
            <w:r>
              <w:rPr>
                <w:rStyle w:val="22"/>
                <w:lang w:val="en-US" w:eastAsia="zh-CN" w:bidi="ar"/>
              </w:rPr>
              <w:t>分</w:t>
            </w:r>
            <w:r>
              <w:rPr>
                <w:rStyle w:val="22"/>
                <w:lang w:val="en-US" w:eastAsia="zh-CN" w:bidi="ar"/>
              </w:rPr>
              <w:br w:type="textWrapping"/>
            </w:r>
            <w:r>
              <w:rPr>
                <w:rStyle w:val="22"/>
                <w:lang w:val="en-US" w:eastAsia="zh-CN" w:bidi="ar"/>
              </w:rPr>
              <w:t>·4分≤改造成效评价得分＜5分，得</w:t>
            </w:r>
            <w:r>
              <w:rPr>
                <w:rStyle w:val="22"/>
                <w:rFonts w:hint="eastAsia"/>
                <w:lang w:val="en-US" w:eastAsia="zh-CN" w:bidi="ar"/>
              </w:rPr>
              <w:t>8</w:t>
            </w:r>
            <w:r>
              <w:rPr>
                <w:rStyle w:val="22"/>
                <w:lang w:val="en-US" w:eastAsia="zh-CN" w:bidi="ar"/>
              </w:rPr>
              <w:t>分</w:t>
            </w:r>
            <w:r>
              <w:rPr>
                <w:rStyle w:val="22"/>
                <w:lang w:val="en-US" w:eastAsia="zh-CN" w:bidi="ar"/>
              </w:rPr>
              <w:br w:type="textWrapping"/>
            </w:r>
            <w:r>
              <w:rPr>
                <w:rStyle w:val="22"/>
                <w:lang w:val="en-US" w:eastAsia="zh-CN" w:bidi="ar"/>
              </w:rPr>
              <w:t>·3分≤改造成效评价得分＜4分，得</w:t>
            </w:r>
            <w:r>
              <w:rPr>
                <w:rStyle w:val="22"/>
                <w:rFonts w:hint="eastAsia"/>
                <w:lang w:val="en-US" w:eastAsia="zh-CN" w:bidi="ar"/>
              </w:rPr>
              <w:t>6</w:t>
            </w:r>
            <w:r>
              <w:rPr>
                <w:rStyle w:val="22"/>
                <w:lang w:val="en-US" w:eastAsia="zh-CN" w:bidi="ar"/>
              </w:rPr>
              <w:t>分</w:t>
            </w:r>
            <w:r>
              <w:rPr>
                <w:rStyle w:val="22"/>
                <w:lang w:val="en-US" w:eastAsia="zh-CN" w:bidi="ar"/>
              </w:rPr>
              <w:br w:type="textWrapping"/>
            </w:r>
            <w:r>
              <w:rPr>
                <w:rStyle w:val="22"/>
                <w:lang w:val="en-US" w:eastAsia="zh-CN" w:bidi="ar"/>
              </w:rPr>
              <w:t>·2分≤改造成效评价得分＜3分，得</w:t>
            </w:r>
            <w:r>
              <w:rPr>
                <w:rStyle w:val="22"/>
                <w:rFonts w:hint="eastAsia"/>
                <w:lang w:val="en-US" w:eastAsia="zh-CN" w:bidi="ar"/>
              </w:rPr>
              <w:t>4</w:t>
            </w:r>
            <w:r>
              <w:rPr>
                <w:rStyle w:val="22"/>
                <w:lang w:val="en-US" w:eastAsia="zh-CN" w:bidi="ar"/>
              </w:rPr>
              <w:t>分</w:t>
            </w:r>
            <w:r>
              <w:rPr>
                <w:rStyle w:val="22"/>
                <w:lang w:val="en-US" w:eastAsia="zh-CN" w:bidi="ar"/>
              </w:rPr>
              <w:br w:type="textWrapping"/>
            </w:r>
            <w:r>
              <w:rPr>
                <w:rStyle w:val="22"/>
                <w:lang w:val="en-US" w:eastAsia="zh-CN" w:bidi="ar"/>
              </w:rPr>
              <w:t>·1分≤改造成效评价得分＜2分，得</w:t>
            </w:r>
            <w:r>
              <w:rPr>
                <w:rStyle w:val="22"/>
                <w:rFonts w:hint="eastAsia"/>
                <w:lang w:val="en-US" w:eastAsia="zh-CN" w:bidi="ar"/>
              </w:rPr>
              <w:t>2</w:t>
            </w:r>
            <w:r>
              <w:rPr>
                <w:rStyle w:val="22"/>
                <w:lang w:val="en-US" w:eastAsia="zh-CN" w:bidi="ar"/>
              </w:rPr>
              <w:t>分</w:t>
            </w:r>
            <w:r>
              <w:rPr>
                <w:rStyle w:val="22"/>
                <w:lang w:val="en-US" w:eastAsia="zh-CN" w:bidi="ar"/>
              </w:rPr>
              <w:br w:type="textWrapping"/>
            </w:r>
            <w:r>
              <w:rPr>
                <w:rStyle w:val="22"/>
                <w:lang w:val="en-US" w:eastAsia="zh-CN" w:bidi="ar"/>
              </w:rPr>
              <w:t>·改造成效评价得分＜1分，不得分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FA64">
            <w:pPr>
              <w:jc w:val="both"/>
              <w:rPr>
                <w:rFonts w:hint="eastAsia" w:ascii="宋体" w:hAnsi="宋体" w:eastAsia="宋体" w:cs="宋体"/>
                <w:i w:val="0"/>
                <w:iCs w:val="0"/>
                <w:color w:val="000000"/>
                <w:sz w:val="24"/>
                <w:szCs w:val="24"/>
                <w:u w:val="none"/>
              </w:rPr>
            </w:pPr>
          </w:p>
        </w:tc>
      </w:tr>
      <w:tr w14:paraId="6D9A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96B7">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4AE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服务商改造验收实效</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（专家复核服务商）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9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E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第三方专家在改造验收通过后，并经试点企业确认，通过改造前后对比，根据服务商对试点企业改造提升实效平均情况，</w:t>
            </w:r>
            <w:r>
              <w:rPr>
                <w:rFonts w:hint="eastAsia" w:ascii="宋体" w:hAnsi="宋体" w:cs="宋体"/>
                <w:i w:val="0"/>
                <w:iCs w:val="0"/>
                <w:color w:val="000000"/>
                <w:kern w:val="0"/>
                <w:sz w:val="22"/>
                <w:szCs w:val="22"/>
                <w:u w:val="none"/>
                <w:lang w:val="en-US" w:eastAsia="zh-CN" w:bidi="ar"/>
              </w:rPr>
              <w:t>给予</w:t>
            </w:r>
            <w:r>
              <w:rPr>
                <w:rFonts w:hint="eastAsia" w:ascii="宋体" w:hAnsi="宋体" w:eastAsia="宋体" w:cs="宋体"/>
                <w:i w:val="0"/>
                <w:iCs w:val="0"/>
                <w:color w:val="000000"/>
                <w:kern w:val="0"/>
                <w:sz w:val="22"/>
                <w:szCs w:val="22"/>
                <w:u w:val="none"/>
                <w:lang w:val="en-US" w:eastAsia="zh-CN" w:bidi="ar"/>
              </w:rPr>
              <w:t>赋分。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.创新方面</w:t>
            </w:r>
            <w:r>
              <w:rPr>
                <w:rFonts w:hint="eastAsia" w:ascii="宋体" w:hAnsi="宋体" w:eastAsia="宋体" w:cs="宋体"/>
                <w:i w:val="0"/>
                <w:iCs w:val="0"/>
                <w:color w:val="000000"/>
                <w:kern w:val="0"/>
                <w:sz w:val="22"/>
                <w:szCs w:val="22"/>
                <w:u w:val="none"/>
                <w:lang w:val="en-US" w:eastAsia="zh-CN" w:bidi="ar"/>
              </w:rPr>
              <w:t>，推动企业关键环节数字化率≥70%，小计2分；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市场方面</w:t>
            </w:r>
            <w:r>
              <w:rPr>
                <w:rFonts w:hint="eastAsia" w:ascii="宋体" w:hAnsi="宋体" w:eastAsia="宋体" w:cs="宋体"/>
                <w:i w:val="0"/>
                <w:iCs w:val="0"/>
                <w:color w:val="000000"/>
                <w:kern w:val="0"/>
                <w:sz w:val="22"/>
                <w:szCs w:val="22"/>
                <w:u w:val="none"/>
                <w:lang w:val="en-US" w:eastAsia="zh-CN" w:bidi="ar"/>
              </w:rPr>
              <w:t>，企业改造后销售额、主营产品市场占有率等方面提升，小计2分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提质方面</w:t>
            </w:r>
            <w:r>
              <w:rPr>
                <w:rFonts w:hint="eastAsia" w:ascii="宋体" w:hAnsi="宋体" w:eastAsia="宋体" w:cs="宋体"/>
                <w:i w:val="0"/>
                <w:iCs w:val="0"/>
                <w:color w:val="000000"/>
                <w:kern w:val="0"/>
                <w:sz w:val="22"/>
                <w:szCs w:val="22"/>
                <w:u w:val="none"/>
                <w:lang w:val="en-US" w:eastAsia="zh-CN" w:bidi="ar"/>
              </w:rPr>
              <w:t>，企业改造后产品合格率、客户满意度等方面提升，小计2分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增效方面</w:t>
            </w:r>
            <w:r>
              <w:rPr>
                <w:rFonts w:hint="eastAsia" w:ascii="宋体" w:hAnsi="宋体" w:eastAsia="宋体" w:cs="宋体"/>
                <w:i w:val="0"/>
                <w:iCs w:val="0"/>
                <w:color w:val="000000"/>
                <w:kern w:val="0"/>
                <w:sz w:val="22"/>
                <w:szCs w:val="22"/>
                <w:u w:val="none"/>
                <w:lang w:val="en-US" w:eastAsia="zh-CN" w:bidi="ar"/>
              </w:rPr>
              <w:t>，企业改造后生产计划达成率、产能利用率、库存周转率等方面提升，小计2分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绿色方面</w:t>
            </w:r>
            <w:r>
              <w:rPr>
                <w:rFonts w:hint="eastAsia" w:ascii="宋体" w:hAnsi="宋体" w:eastAsia="宋体" w:cs="宋体"/>
                <w:i w:val="0"/>
                <w:iCs w:val="0"/>
                <w:color w:val="000000"/>
                <w:kern w:val="0"/>
                <w:sz w:val="22"/>
                <w:szCs w:val="22"/>
                <w:u w:val="none"/>
                <w:lang w:val="en-US" w:eastAsia="zh-CN" w:bidi="ar"/>
              </w:rPr>
              <w:t>，企业改造后能耗成本、废气废水排放、能源耗电等方面降低，小计2分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上述各项分数根据企业改造的平均情况赋分统计：90%（含）以上企业实现增效，得2分；50%-90%比例企业实现增效，得1分；50%以下比例企业实现增效，不得分。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DD9C">
            <w:pPr>
              <w:rPr>
                <w:rFonts w:hint="eastAsia" w:ascii="宋体" w:hAnsi="宋体" w:eastAsia="宋体" w:cs="宋体"/>
                <w:i w:val="0"/>
                <w:iCs w:val="0"/>
                <w:color w:val="000000"/>
                <w:sz w:val="22"/>
                <w:szCs w:val="22"/>
                <w:u w:val="none"/>
              </w:rPr>
            </w:pPr>
          </w:p>
        </w:tc>
      </w:tr>
      <w:tr w14:paraId="608D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6A6D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综合服务能力</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（20分）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CFD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推动链式转型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0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D7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链主服务商或服务商联合链主企业的，与细分行业上下游关联试点企业完成立项签约的，按实际签约立项数量进行赋分。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每完成签约立项1家，得0.5分，累计不超过5分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CAB4">
            <w:pPr>
              <w:jc w:val="center"/>
              <w:rPr>
                <w:rFonts w:hint="eastAsia" w:ascii="宋体" w:hAnsi="宋体" w:eastAsia="宋体" w:cs="宋体"/>
                <w:i w:val="0"/>
                <w:iCs w:val="0"/>
                <w:color w:val="000000"/>
                <w:sz w:val="24"/>
                <w:szCs w:val="24"/>
                <w:u w:val="none"/>
              </w:rPr>
            </w:pPr>
          </w:p>
        </w:tc>
      </w:tr>
      <w:tr w14:paraId="3556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18E2E">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D63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服务试点企业</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入选标杆案例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9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0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鼓励服务商积极推动所服务的试点企业成为“优秀案例”企业，该项根据“厦门工信”公众号每周发布的试点企业典型案例情况予以赋分。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·服务商所服务的试点企业入选“厦门工信”公众号中小企业数字化转型优秀案例的，每入选1家，得1分；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·参与由市工信局组织的“标杆入企”活动的试点企业所提供数字化转型服务的服务商，每次“标杆入企”，得2分。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上述累计不超过5分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1F9A">
            <w:pPr>
              <w:jc w:val="center"/>
              <w:rPr>
                <w:rFonts w:hint="eastAsia" w:ascii="宋体" w:hAnsi="宋体" w:eastAsia="宋体" w:cs="宋体"/>
                <w:i w:val="0"/>
                <w:iCs w:val="0"/>
                <w:color w:val="000000"/>
                <w:sz w:val="24"/>
                <w:szCs w:val="24"/>
                <w:u w:val="none"/>
              </w:rPr>
            </w:pPr>
          </w:p>
        </w:tc>
      </w:tr>
      <w:tr w14:paraId="782D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FC1B">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2CB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服务商活动参展</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课题支撑情况</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1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A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鼓励服务商在市区主管部门指导下，积极开展行业论坛、企业参展、主题沙龙等活动，每参与1项活动，得1分；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鼓励服务商积极配合市区主管部门开展课题研究、行业调研等活动，每参与1项活动，得2分；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上述工作项目分数累计计算，最高不超过5分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8E82">
            <w:pPr>
              <w:jc w:val="center"/>
              <w:rPr>
                <w:rFonts w:hint="eastAsia" w:ascii="宋体" w:hAnsi="宋体" w:eastAsia="宋体" w:cs="宋体"/>
                <w:i w:val="0"/>
                <w:iCs w:val="0"/>
                <w:color w:val="000000"/>
                <w:sz w:val="24"/>
                <w:szCs w:val="24"/>
                <w:u w:val="none"/>
              </w:rPr>
            </w:pPr>
          </w:p>
        </w:tc>
      </w:tr>
      <w:tr w14:paraId="52C9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597D">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B18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海外赋能</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5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75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鼓励服务商积极推动厦门中小企业数字化转型产品或解决方案走向海外，扩大对外赋能影响。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对服务商提供海外赋能典型案例的试点企业，每例海外赋能案例得2分，累计不超过5分。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4B3C">
            <w:pPr>
              <w:jc w:val="center"/>
              <w:rPr>
                <w:rFonts w:hint="eastAsia" w:ascii="宋体" w:hAnsi="宋体" w:eastAsia="宋体" w:cs="宋体"/>
                <w:i w:val="0"/>
                <w:iCs w:val="0"/>
                <w:color w:val="000000"/>
                <w:sz w:val="24"/>
                <w:szCs w:val="24"/>
                <w:u w:val="none"/>
              </w:rPr>
            </w:pPr>
          </w:p>
        </w:tc>
      </w:tr>
      <w:tr w14:paraId="03EA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690" w:type="pct"/>
            <w:vMerge w:val="restart"/>
            <w:tcBorders>
              <w:top w:val="single" w:color="000000" w:sz="4" w:space="0"/>
              <w:left w:val="single" w:color="000000" w:sz="4" w:space="0"/>
              <w:bottom w:val="nil"/>
              <w:right w:val="single" w:color="000000" w:sz="4" w:space="0"/>
            </w:tcBorders>
            <w:shd w:val="clear" w:color="auto" w:fill="auto"/>
            <w:vAlign w:val="center"/>
          </w:tcPr>
          <w:p w14:paraId="3B62B10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加分项（10分）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868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获省部级荣誉</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5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9E1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被纳入《工业和信息化部办公厅 财政部办公厅关于开展财政支持中小企业数字化转型试点工作的通知》（工信厅联企业〔2022〕22号）的服务商，加</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被纳入工信部中小企业局发布的“中小企业数字化转型典型案例”中的服务商</w:t>
            </w:r>
            <w:r>
              <w:rPr>
                <w:rFonts w:hint="eastAsia" w:ascii="宋体" w:hAnsi="宋体" w:cs="宋体"/>
                <w:i w:val="0"/>
                <w:iCs w:val="0"/>
                <w:color w:val="000000"/>
                <w:kern w:val="0"/>
                <w:sz w:val="24"/>
                <w:szCs w:val="24"/>
                <w:u w:val="none"/>
                <w:lang w:val="en-US" w:eastAsia="zh-CN" w:bidi="ar"/>
              </w:rPr>
              <w:t>或能提供其他省部级荣誉的</w:t>
            </w:r>
            <w:r>
              <w:rPr>
                <w:rFonts w:hint="eastAsia" w:ascii="宋体" w:hAnsi="宋体" w:eastAsia="宋体" w:cs="宋体"/>
                <w:i w:val="0"/>
                <w:iCs w:val="0"/>
                <w:color w:val="000000"/>
                <w:kern w:val="0"/>
                <w:sz w:val="24"/>
                <w:szCs w:val="24"/>
                <w:u w:val="none"/>
                <w:lang w:val="en-US" w:eastAsia="zh-CN" w:bidi="ar"/>
              </w:rPr>
              <w:t>，加1分。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30B1">
            <w:pPr>
              <w:jc w:val="both"/>
              <w:rPr>
                <w:rFonts w:hint="eastAsia" w:ascii="宋体" w:hAnsi="宋体" w:eastAsia="宋体" w:cs="宋体"/>
                <w:i w:val="0"/>
                <w:iCs w:val="0"/>
                <w:color w:val="000000"/>
                <w:sz w:val="24"/>
                <w:szCs w:val="24"/>
                <w:u w:val="none"/>
              </w:rPr>
            </w:pPr>
          </w:p>
        </w:tc>
      </w:tr>
      <w:tr w14:paraId="22C4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690" w:type="pct"/>
            <w:vMerge w:val="continue"/>
            <w:tcBorders>
              <w:top w:val="single" w:color="000000" w:sz="4" w:space="0"/>
              <w:left w:val="single" w:color="000000" w:sz="4" w:space="0"/>
              <w:bottom w:val="nil"/>
              <w:right w:val="single" w:color="000000" w:sz="4" w:space="0"/>
            </w:tcBorders>
            <w:shd w:val="clear" w:color="auto" w:fill="auto"/>
            <w:vAlign w:val="center"/>
          </w:tcPr>
          <w:p w14:paraId="567E8003">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3F7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转型成效标杆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4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07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企业改造验收满足四级情况。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服务商所签约的试点企业，在完成改造验收后，经认定为数字化水平等级四级的，进行加分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每认定一家四级企业的，加0.5分，最高</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FC5B">
            <w:pPr>
              <w:jc w:val="both"/>
              <w:rPr>
                <w:rFonts w:hint="eastAsia" w:ascii="宋体" w:hAnsi="宋体" w:eastAsia="宋体" w:cs="宋体"/>
                <w:i w:val="0"/>
                <w:iCs w:val="0"/>
                <w:color w:val="000000"/>
                <w:sz w:val="24"/>
                <w:szCs w:val="24"/>
                <w:u w:val="none"/>
              </w:rPr>
            </w:pPr>
          </w:p>
        </w:tc>
      </w:tr>
      <w:tr w14:paraId="7866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90" w:type="pct"/>
            <w:vMerge w:val="continue"/>
            <w:tcBorders>
              <w:top w:val="single" w:color="000000" w:sz="4" w:space="0"/>
              <w:left w:val="single" w:color="000000" w:sz="4" w:space="0"/>
              <w:bottom w:val="nil"/>
              <w:right w:val="single" w:color="000000" w:sz="4" w:space="0"/>
            </w:tcBorders>
            <w:shd w:val="clear" w:color="auto" w:fill="auto"/>
            <w:vAlign w:val="center"/>
          </w:tcPr>
          <w:p w14:paraId="00300B00">
            <w:pPr>
              <w:jc w:val="center"/>
              <w:rPr>
                <w:rFonts w:hint="eastAsia" w:ascii="黑体" w:hAnsi="宋体" w:eastAsia="黑体" w:cs="黑体"/>
                <w:i w:val="0"/>
                <w:iCs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E36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宣传推广工作</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D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81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入驻市级中小企业数字化转型创新中心，加</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其他配合主管部门开展宣传推广工作的，视情况加</w:t>
            </w: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上述累计不超过</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528F">
            <w:pPr>
              <w:jc w:val="both"/>
              <w:rPr>
                <w:rFonts w:hint="eastAsia" w:ascii="宋体" w:hAnsi="宋体" w:eastAsia="宋体" w:cs="宋体"/>
                <w:i w:val="0"/>
                <w:iCs w:val="0"/>
                <w:color w:val="000000"/>
                <w:sz w:val="24"/>
                <w:szCs w:val="24"/>
                <w:u w:val="none"/>
              </w:rPr>
            </w:pPr>
          </w:p>
        </w:tc>
      </w:tr>
      <w:tr w14:paraId="643F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6CD9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服务商出现以下情况之一直接取消服务商资格</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C93F">
            <w:pPr>
              <w:jc w:val="center"/>
              <w:rPr>
                <w:rFonts w:hint="eastAsia" w:ascii="宋体" w:hAnsi="宋体" w:eastAsia="宋体" w:cs="宋体"/>
                <w:i w:val="0"/>
                <w:iCs w:val="0"/>
                <w:color w:val="000000"/>
                <w:sz w:val="24"/>
                <w:szCs w:val="24"/>
                <w:u w:val="none"/>
              </w:rPr>
            </w:pPr>
          </w:p>
        </w:tc>
        <w:tc>
          <w:tcPr>
            <w:tcW w:w="2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AC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（一）在入库申请或验收过程中提供虚假信息的；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（二）在申请评定过程中存在干扰评定公平性行为的；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（三）入选试点工作数字化服务商后三个月内没有和企业签订数字化改造合同的；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（四）超过3家试点企业满意度评价为“不满意”的；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（五）试点企业经整改后二级通过率未达到80%的；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（六）泄露试点企业商业机密、核心技术或敏感信息；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（七）存在骗补、虚假合同等行为，或采取不正当竞争手段、损害试点企业或其他相关参与方利益的；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（八）存在相关违法违规行为的。</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DD57">
            <w:pPr>
              <w:jc w:val="both"/>
              <w:rPr>
                <w:rFonts w:hint="eastAsia" w:ascii="宋体" w:hAnsi="宋体" w:eastAsia="宋体" w:cs="宋体"/>
                <w:i w:val="0"/>
                <w:iCs w:val="0"/>
                <w:color w:val="000000"/>
                <w:sz w:val="24"/>
                <w:szCs w:val="24"/>
                <w:u w:val="none"/>
              </w:rPr>
            </w:pPr>
          </w:p>
        </w:tc>
      </w:tr>
    </w:tbl>
    <w:p w14:paraId="55995236"/>
    <w:p w14:paraId="34E216EC">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B0A950-19A7-4F0C-8054-B5CA41839D41}"/>
  </w:font>
  <w:font w:name="黑体">
    <w:panose1 w:val="02010609060101010101"/>
    <w:charset w:val="86"/>
    <w:family w:val="auto"/>
    <w:pitch w:val="default"/>
    <w:sig w:usb0="800002BF" w:usb1="38CF7CFA" w:usb2="00000016" w:usb3="00000000" w:csb0="00040001" w:csb1="00000000"/>
    <w:embedRegular r:id="rId2" w:fontKey="{8D39FCF0-FBA0-440B-A0BD-19FAE8DEAA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AA1B9B2-0CB1-4410-8DCB-8E5A2EBE3247}"/>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5F4C2D74-32BB-4B77-B41B-524167C9C638}"/>
  </w:font>
  <w:font w:name="楷体">
    <w:panose1 w:val="02010609060101010101"/>
    <w:charset w:val="86"/>
    <w:family w:val="auto"/>
    <w:pitch w:val="default"/>
    <w:sig w:usb0="800002BF" w:usb1="38CF7CFA" w:usb2="00000016" w:usb3="00000000" w:csb0="00040001" w:csb1="00000000"/>
    <w:embedRegular r:id="rId5" w:fontKey="{2EED62CE-6313-44A7-9379-EBD0C63AE4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696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307E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2307E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ZjhjODg5NzI1YmE2ZjUxYTA1Mzg4MjUyNzI3MDYifQ=="/>
  </w:docVars>
  <w:rsids>
    <w:rsidRoot w:val="322004AC"/>
    <w:rsid w:val="006D6F3B"/>
    <w:rsid w:val="00C01323"/>
    <w:rsid w:val="04804DA9"/>
    <w:rsid w:val="051F632A"/>
    <w:rsid w:val="0C6D4563"/>
    <w:rsid w:val="0E9E1F4D"/>
    <w:rsid w:val="0F9913BC"/>
    <w:rsid w:val="0FF7288F"/>
    <w:rsid w:val="12D469A6"/>
    <w:rsid w:val="14666613"/>
    <w:rsid w:val="151003F4"/>
    <w:rsid w:val="173C53D1"/>
    <w:rsid w:val="22C205C9"/>
    <w:rsid w:val="22CC1448"/>
    <w:rsid w:val="238237CD"/>
    <w:rsid w:val="287F4401"/>
    <w:rsid w:val="2DBF0527"/>
    <w:rsid w:val="2F495007"/>
    <w:rsid w:val="322004AC"/>
    <w:rsid w:val="32CD6737"/>
    <w:rsid w:val="34551C91"/>
    <w:rsid w:val="3AA11EA9"/>
    <w:rsid w:val="3DF21F2E"/>
    <w:rsid w:val="44412A2A"/>
    <w:rsid w:val="51CB2747"/>
    <w:rsid w:val="58721B1C"/>
    <w:rsid w:val="5AC16DDD"/>
    <w:rsid w:val="6162651F"/>
    <w:rsid w:val="621F70D2"/>
    <w:rsid w:val="6243457B"/>
    <w:rsid w:val="639F5BC9"/>
    <w:rsid w:val="64C249E9"/>
    <w:rsid w:val="6EC62920"/>
    <w:rsid w:val="6FB51331"/>
    <w:rsid w:val="709A11E3"/>
    <w:rsid w:val="72734C8E"/>
    <w:rsid w:val="742E6317"/>
    <w:rsid w:val="75AE7A7E"/>
    <w:rsid w:val="785859A5"/>
    <w:rsid w:val="794B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rPr>
      <w:rFonts w:eastAsia="仿宋"/>
      <w:sz w:val="32"/>
    </w:rPr>
  </w:style>
  <w:style w:type="paragraph" w:styleId="5">
    <w:name w:val="Body Text"/>
    <w:basedOn w:val="1"/>
    <w:next w:val="6"/>
    <w:unhideWhenUsed/>
    <w:qFormat/>
    <w:uiPriority w:val="99"/>
    <w:pPr>
      <w:spacing w:after="120"/>
    </w:pPr>
  </w:style>
  <w:style w:type="paragraph" w:styleId="6">
    <w:name w:val="Body Text First Indent 2"/>
    <w:basedOn w:val="7"/>
    <w:next w:val="1"/>
    <w:qFormat/>
    <w:uiPriority w:val="0"/>
    <w:pPr>
      <w:spacing w:after="120"/>
      <w:ind w:left="420" w:leftChars="200" w:firstLine="420" w:firstLineChars="200"/>
    </w:pPr>
    <w:rPr>
      <w:rFonts w:ascii="Times New Roman" w:hAnsi="Times New Roman" w:eastAsia="宋体" w:cs="Times New Roman"/>
      <w:sz w:val="21"/>
      <w:szCs w:val="21"/>
    </w:rPr>
  </w:style>
  <w:style w:type="paragraph" w:styleId="7">
    <w:name w:val="Body Text Indent"/>
    <w:basedOn w:val="1"/>
    <w:next w:val="4"/>
    <w:qFormat/>
    <w:uiPriority w:val="0"/>
    <w:pPr>
      <w:ind w:firstLine="540" w:firstLineChars="180"/>
    </w:pPr>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qFormat/>
    <w:uiPriority w:val="22"/>
    <w:rPr>
      <w:b/>
    </w:rPr>
  </w:style>
  <w:style w:type="character" w:customStyle="1" w:styleId="14">
    <w:name w:val="标题 2 字符"/>
    <w:link w:val="3"/>
    <w:autoRedefine/>
    <w:qFormat/>
    <w:uiPriority w:val="0"/>
    <w:rPr>
      <w:rFonts w:ascii="Arial" w:hAnsi="Arial" w:eastAsia="黑体"/>
      <w:b/>
      <w:sz w:val="32"/>
    </w:rPr>
  </w:style>
  <w:style w:type="character" w:customStyle="1" w:styleId="15">
    <w:name w:val="font01"/>
    <w:basedOn w:val="12"/>
    <w:qFormat/>
    <w:uiPriority w:val="0"/>
    <w:rPr>
      <w:rFonts w:hint="eastAsia" w:ascii="宋体" w:hAnsi="宋体" w:eastAsia="宋体" w:cs="宋体"/>
      <w:color w:val="000000"/>
      <w:sz w:val="22"/>
      <w:szCs w:val="22"/>
      <w:u w:val="none"/>
    </w:rPr>
  </w:style>
  <w:style w:type="character" w:customStyle="1" w:styleId="16">
    <w:name w:val="font31"/>
    <w:basedOn w:val="12"/>
    <w:qFormat/>
    <w:uiPriority w:val="0"/>
    <w:rPr>
      <w:rFonts w:hint="eastAsia" w:ascii="宋体" w:hAnsi="宋体" w:eastAsia="宋体" w:cs="宋体"/>
      <w:color w:val="000000"/>
      <w:sz w:val="22"/>
      <w:szCs w:val="22"/>
      <w:u w:val="none"/>
    </w:rPr>
  </w:style>
  <w:style w:type="character" w:customStyle="1" w:styleId="17">
    <w:name w:val="font51"/>
    <w:basedOn w:val="12"/>
    <w:qFormat/>
    <w:uiPriority w:val="0"/>
    <w:rPr>
      <w:rFonts w:hint="eastAsia" w:ascii="宋体" w:hAnsi="宋体" w:eastAsia="宋体" w:cs="宋体"/>
      <w:b/>
      <w:bCs/>
      <w:color w:val="000000"/>
      <w:sz w:val="24"/>
      <w:szCs w:val="24"/>
      <w:u w:val="none"/>
    </w:rPr>
  </w:style>
  <w:style w:type="character" w:customStyle="1" w:styleId="18">
    <w:name w:val="font41"/>
    <w:basedOn w:val="12"/>
    <w:qFormat/>
    <w:uiPriority w:val="0"/>
    <w:rPr>
      <w:rFonts w:hint="eastAsia" w:ascii="宋体" w:hAnsi="宋体" w:eastAsia="宋体" w:cs="宋体"/>
      <w:color w:val="000000"/>
      <w:sz w:val="24"/>
      <w:szCs w:val="24"/>
      <w:u w:val="none"/>
    </w:rPr>
  </w:style>
  <w:style w:type="character" w:customStyle="1" w:styleId="19">
    <w:name w:val="font61"/>
    <w:basedOn w:val="12"/>
    <w:qFormat/>
    <w:uiPriority w:val="0"/>
    <w:rPr>
      <w:rFonts w:hint="eastAsia" w:ascii="宋体" w:hAnsi="宋体" w:eastAsia="宋体" w:cs="宋体"/>
      <w:color w:val="000000"/>
      <w:sz w:val="24"/>
      <w:szCs w:val="24"/>
      <w:u w:val="none"/>
    </w:rPr>
  </w:style>
  <w:style w:type="character" w:customStyle="1" w:styleId="20">
    <w:name w:val="font71"/>
    <w:basedOn w:val="12"/>
    <w:qFormat/>
    <w:uiPriority w:val="0"/>
    <w:rPr>
      <w:rFonts w:hint="eastAsia" w:ascii="宋体" w:hAnsi="宋体" w:eastAsia="宋体" w:cs="宋体"/>
      <w:b/>
      <w:bCs/>
      <w:color w:val="000000"/>
      <w:sz w:val="24"/>
      <w:szCs w:val="24"/>
      <w:u w:val="none"/>
    </w:rPr>
  </w:style>
  <w:style w:type="character" w:customStyle="1" w:styleId="21">
    <w:name w:val="font81"/>
    <w:basedOn w:val="12"/>
    <w:qFormat/>
    <w:uiPriority w:val="0"/>
    <w:rPr>
      <w:rFonts w:hint="eastAsia" w:ascii="宋体" w:hAnsi="宋体" w:eastAsia="宋体" w:cs="宋体"/>
      <w:b/>
      <w:bCs/>
      <w:color w:val="000000"/>
      <w:sz w:val="22"/>
      <w:szCs w:val="22"/>
      <w:u w:val="none"/>
    </w:rPr>
  </w:style>
  <w:style w:type="character" w:customStyle="1" w:styleId="22">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3224</Words>
  <Characters>3282</Characters>
  <Lines>0</Lines>
  <Paragraphs>0</Paragraphs>
  <TotalTime>13</TotalTime>
  <ScaleCrop>false</ScaleCrop>
  <LinksUpToDate>false</LinksUpToDate>
  <CharactersWithSpaces>3308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2024-08-23T01:27:00Z</dcterms:created>
  <dc:creator>工联院</dc:creator>
  <cp:lastModifiedBy>杨子毅</cp:lastModifiedBy>
  <dcterms:modified xsi:type="dcterms:W3CDTF">2024-12-03T00:52:46Z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47337D7F836840828F647DC2D396C62A_13</vt:lpwstr>
  </property>
</Properties>
</file>