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1FD6">
      <w:pPr>
        <w:pageBreakBefore w:val="0"/>
        <w:widowControl w:val="0"/>
        <w:kinsoku/>
        <w:overflowPunct/>
        <w:topLinePunct w:val="0"/>
        <w:bidi w:val="0"/>
        <w:adjustRightInd w:val="0"/>
        <w:spacing w:line="240" w:lineRule="auto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附件1</w:t>
      </w:r>
    </w:p>
    <w:p w14:paraId="32631B73">
      <w:pPr>
        <w:pageBreakBefore w:val="0"/>
        <w:kinsoku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2024年实体经济和数字经济深度融合典型案例</w:t>
      </w:r>
    </w:p>
    <w:p w14:paraId="7D27047B">
      <w:pPr>
        <w:pageBreakBefore w:val="0"/>
        <w:kinsoku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要素条件</w:t>
      </w:r>
      <w:bookmarkEnd w:id="0"/>
    </w:p>
    <w:p w14:paraId="21F6C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7EF35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进一步促进实体经济和数字经济深度融合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，以信息化培育新动能，用新动能推动新发展，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加快新一代信息技术全方位全链条普及应用</w:t>
      </w: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，本次征集工作共设置以下4个方向、共1</w:t>
      </w:r>
      <w:r>
        <w:rPr>
          <w:rFonts w:hint="eastAsia" w:ascii="Times New Roman" w:hAnsi="Times New Roman" w:cs="Times New Roman"/>
          <w:color w:val="000000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个</w:t>
      </w:r>
      <w:r>
        <w:rPr>
          <w:rFonts w:hint="eastAsia" w:ascii="Times New Roman" w:hAnsi="Times New Roman" w:cs="Times New Roman"/>
          <w:color w:val="000000"/>
          <w:highlight w:val="none"/>
          <w:lang w:val="en-US" w:eastAsia="zh-CN"/>
        </w:rPr>
        <w:t>子</w:t>
      </w: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方向。</w:t>
      </w:r>
    </w:p>
    <w:p w14:paraId="643F7503">
      <w:pPr>
        <w:pageBreakBefore w:val="0"/>
        <w:widowControl w:val="0"/>
        <w:kinsoku/>
        <w:overflowPunct/>
        <w:topLinePunct w:val="0"/>
        <w:bidi w:val="0"/>
        <w:adjustRightInd w:val="0"/>
        <w:spacing w:line="24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一、数字化转型通用工具产品</w:t>
      </w:r>
    </w:p>
    <w:p w14:paraId="13098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面向数字化通用工具产品，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聚焦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数字化转型过程中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数字化工具产品标准化程度不高、使用成本高、二次开发难度大等问题，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数字化感知和检测工具、数字化专用装置、数字化“中间件”、数字化边缘节点、SaaS化企业管理软件等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，遴选一批普适化、标准化、智能化通用工具产品应用典型案例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通过低成本、轻配置、普适性的数字化工具产品矩阵，引导企业加快数字化转型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。</w:t>
      </w:r>
    </w:p>
    <w:p w14:paraId="3C6D811A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（一）数字化感知和检测工具</w:t>
      </w:r>
    </w:p>
    <w:p w14:paraId="54720C87">
      <w:pPr>
        <w:pageBreakBefore w:val="0"/>
        <w:widowControl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（1）物料感知类：指利用光谱、色谱、质谱等检测手段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取生产物料的材料成分、晶体结构等信息并实现数据分析的工具，包括但不限于光谱水质监测仪、液相色谱仪、气相色谱质谱联用仪等。（2）测量工具类：指运用X光、红外、激光、声波、电磁、压力等感知技术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测量产品的色差、体积、形状、质量、温度、位置等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进行数据分析的工具，包括但不限于智能成像仪、智能游标卡尺、智能仪器仪表、雷达物位计等。（3）检测工具类：指运用3D视觉、机器学习、激光感知等技术，对产品质量、生产过程、运行状态、环境安全等进行性能检测、数据分析、监测预警的工具，包括但不限于缺陷检测仪、功能检测仪等。</w:t>
      </w:r>
    </w:p>
    <w:p w14:paraId="62F4B6DB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（二）数字化专用装置</w:t>
      </w:r>
    </w:p>
    <w:p w14:paraId="4AAE95B6">
      <w:pPr>
        <w:pageBreakBefore w:val="0"/>
        <w:widowControl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综合利用红外感知、激光感知、机器视觉、人机交互、机器学习等技术，实现研发设计、生产制造、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物流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运输等环节智能化应用的装置，包括但不限于装配机器人、喷涂机器人、智能立体仓库等单一功能或集成式工具。</w:t>
      </w:r>
    </w:p>
    <w:p w14:paraId="17883552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（三）数字化“中间件”</w:t>
      </w:r>
    </w:p>
    <w:p w14:paraId="123039E2">
      <w:pPr>
        <w:pageBreakBefore w:val="0"/>
        <w:widowControl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（1）硬件协议：指用于定义设备之间如何连接和沟通的规则，包括但不限于Modbus、OPC、UART等嵌入式工业通信接口协议。（2）应用软件连接件（接缝）：指基于数据字典体系规则开发的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用于实现不同应用软件之间数据交互、协议转换、安全隔离等功能的软件工具，包括但不限于软件接口适配工具、数据字典语义转换工具、数据字典测试验证工具、应用总线等。</w:t>
      </w:r>
    </w:p>
    <w:p w14:paraId="595C88F2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（四）数字化边缘节点</w:t>
      </w:r>
    </w:p>
    <w:p w14:paraId="6260416A">
      <w:pPr>
        <w:pageBreakBefore w:val="0"/>
        <w:widowControl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在数据源头的边缘侧具有融合网络、计算、存储、应用等核心能力的一体化数字化设备，实现工厂侧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局部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协同优化，包括但不限于边缘服务器、边缘网关、边缘控制器等智能设备。</w:t>
      </w:r>
    </w:p>
    <w:p w14:paraId="0AAA790C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（五）SaaS化企业管理软件</w:t>
      </w:r>
    </w:p>
    <w:p w14:paraId="2EEA89FE">
      <w:pPr>
        <w:pageBreakBefore w:val="0"/>
        <w:widowControl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围绕企业“研产供销服”过程中人财物的数字化管理目标，针对生产和经营的业务场景的共性需求，形成通用的功能、业务流程和数据智能等应用，如通过预置的嵌入式人工智能数据报表等功能，实现面向用户的场景化选配、即开即用、付费即用（标准化）的各类管理软件。包括但不限于ERP（企业资源计划）、协同办公、财务管理、人力资源管理、供应链管理、客户关系管理、精益管理等应用。</w:t>
      </w:r>
    </w:p>
    <w:p w14:paraId="76E29E2F">
      <w:pPr>
        <w:pageBreakBefore w:val="0"/>
        <w:widowControl w:val="0"/>
        <w:kinsoku/>
        <w:overflowPunct/>
        <w:topLinePunct w:val="0"/>
        <w:bidi w:val="0"/>
        <w:adjustRightInd w:val="0"/>
        <w:spacing w:line="24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二、工业互联网平台创新领航应用</w:t>
      </w:r>
    </w:p>
    <w:p w14:paraId="53679078"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/>
          <w14:ligatures w14:val="none"/>
        </w:rPr>
        <w:t>面向基于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  <w14:ligatures w14:val="none"/>
        </w:rPr>
        <w:t>工业互联网平台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/>
          <w14:ligatures w14:val="none"/>
        </w:rPr>
        <w:t>开展模式创新的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  <w14:ligatures w14:val="none"/>
        </w:rPr>
        <w:t>工业企业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数据难流通、跨环节难集成、企业难协同等问题，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</w:rPr>
        <w:t>平台化设计、数字化管理、智能化制造、网络化协同、个性化定制和服务化</w:t>
      </w:r>
      <w:r>
        <w:rPr>
          <w:rFonts w:hint="default" w:ascii="Times New Roman" w:hAnsi="Times New Roman" w:cs="Times New Roman"/>
          <w:sz w:val="32"/>
          <w:szCs w:val="20"/>
          <w:highlight w:val="none"/>
          <w:lang w:val="en-US" w:eastAsia="zh-CN"/>
        </w:rPr>
        <w:t>延伸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sz w:val="32"/>
          <w:szCs w:val="20"/>
          <w:highlight w:val="none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遴选</w:t>
      </w:r>
      <w:r>
        <w:rPr>
          <w:rFonts w:hint="default" w:ascii="Times New Roman" w:hAnsi="Times New Roman" w:cs="Times New Roman"/>
          <w:szCs w:val="32"/>
          <w:highlight w:val="none"/>
        </w:rPr>
        <w:t>一批技术先进、模式创新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Cs w:val="32"/>
          <w:highlight w:val="none"/>
        </w:rPr>
        <w:t>成效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突出</w:t>
      </w:r>
      <w:r>
        <w:rPr>
          <w:rFonts w:hint="default" w:ascii="Times New Roman" w:hAnsi="Times New Roman" w:cs="Times New Roman"/>
          <w:szCs w:val="32"/>
          <w:highlight w:val="none"/>
        </w:rPr>
        <w:t>、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规模推广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cs="Times New Roman"/>
          <w:szCs w:val="32"/>
          <w:highlight w:val="none"/>
        </w:rPr>
        <w:t>工业互联网平台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模式创新典型案例。通过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跨场景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/>
        </w:rPr>
        <w:t>协同的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平台新模式标杆样板，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助力企业创新发展和产业变革</w:t>
      </w:r>
      <w:r>
        <w:rPr>
          <w:rFonts w:hint="default" w:ascii="Times New Roman" w:hAnsi="Times New Roman" w:cs="Times New Roman"/>
          <w:szCs w:val="32"/>
          <w:highlight w:val="none"/>
        </w:rPr>
        <w:t>。</w:t>
      </w:r>
    </w:p>
    <w:p w14:paraId="307F5897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（一）平台化设计</w:t>
      </w:r>
    </w:p>
    <w:p w14:paraId="44D3367D"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工业设计资源分散、工具软件落后和创新能力偏弱等问题，基于工业互联网平台汇聚各领域研发设计资源，通过数据积累和机器深度学习，促进工业知识经验沉淀、仿真设计工具创新，实现轻量化、并行、敏捷、交互和模块化设计，提高产品设计水平、协同研发效率和成本控制能力。</w:t>
      </w:r>
    </w:p>
    <w:p w14:paraId="7A89FEBF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（二）数字化管理</w:t>
      </w:r>
    </w:p>
    <w:p w14:paraId="4BB7C29E"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工业企业数据开发利用程度低、管理决策效率低和信息孤岛等问题，基于工业互联网平台贯通全业务链数据，通过智能传感器、物联网等技术，构建数字化供应链管理体系，引领企业打造数字化驾驶舱，实现组织架构优化、动态精准服务、辅助管理决策等管理模式创新，提升企业经营管理能力。</w:t>
      </w:r>
    </w:p>
    <w:p w14:paraId="7DCCC698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（三）智能化制造</w:t>
      </w:r>
    </w:p>
    <w:p w14:paraId="0520FC84"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聚焦信息技术应用能力差、生产效率低和管控能力弱等问题，基于工业互联网平台促进生产制造全过程数字化改造，推动企业智能制造单元、智能产线、智能车间建设，加快制造执行系统的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化部署和优化升级，实现对生产制造过程的动态感知、实时分析与科学决策，提升生产效率和产品质量。</w:t>
      </w:r>
    </w:p>
    <w:p w14:paraId="44902DEB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（四）网络化协同</w:t>
      </w:r>
    </w:p>
    <w:p w14:paraId="3605111F"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产业链结构复杂、信息不对称、协作效率低等问题，基于工业互联网平台汇聚设计、制造、运维、供应链等各环节主体，推动关键数据共享、业务互联和制造资源优化配置，实现跨企业、跨地区、跨行业的研发协同、制造协同、供应协同，打造覆盖产品全生命周期的云化服务与协同服务，以数据价值网络推动产业链延伸与价值链升级。</w:t>
      </w:r>
    </w:p>
    <w:p w14:paraId="299FA137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（五）个性化定制</w:t>
      </w:r>
    </w:p>
    <w:p w14:paraId="4008B375"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产品同质化程度高、附加值较低和多元化需求无法有效满足等问题，基于工业互联网平台增强用户在产品全生命周期中的参与度，精准挖掘分析用户需求，并基于数据整合分析、模型库共享与供应商协同，实现模块化与个性化设计、柔性化生产、智能仓储和准时交付，实现高效率、零库存的生产模式。</w:t>
      </w:r>
    </w:p>
    <w:p w14:paraId="20CD700C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（六）服务化延伸</w:t>
      </w:r>
    </w:p>
    <w:p w14:paraId="49627068"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传统制造竞争力下降、工业企业产品供应模式单一和售后服务要求高等问题，基于工业互联网平台实现对产品的远程互联和数据分析，发展产品追溯、远程运维、分享制造、供应链金融、回收利用等创新型服务模式，推动制造向服务转变、从出售产品到“产品+服务”转变。</w:t>
      </w:r>
    </w:p>
    <w:p w14:paraId="4BA7A766">
      <w:pPr>
        <w:pageBreakBefore w:val="0"/>
        <w:widowControl w:val="0"/>
        <w:kinsoku/>
        <w:overflowPunct/>
        <w:topLinePunct w:val="0"/>
        <w:bidi w:val="0"/>
        <w:adjustRightInd w:val="0"/>
        <w:spacing w:line="24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48"/>
          <w:highlight w:val="none"/>
          <w:lang w:val="en-US" w:eastAsia="zh-CN" w:bidi="ar-SA"/>
        </w:rPr>
        <w:t>三、数字领航企业</w:t>
      </w:r>
    </w:p>
    <w:p w14:paraId="1FF84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面向优质制造业企业，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聚焦制造业数字化转型路径不清晰、应用落地难、效益不明显等问题，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大企业、中小企业等方面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，遴选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一批技术创新应用、业务模式优越、组织管理高效、价值效益突出、具有较强引领带动作用的数字领航企业典型案例。通过标杆引领带动更多制造企业开展数字化转型实践，输出优质解决方案和转型经验，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加快产业整体转型升级。</w:t>
      </w:r>
    </w:p>
    <w:p w14:paraId="5154BEEA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（一）数字领航企业（大企业）</w:t>
      </w:r>
    </w:p>
    <w:p w14:paraId="3BAFA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聚焦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大企业数字化转型战略路径不清晰、技术应用不协调、组织架构不适应等问题，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引导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企业深化新一代信息技术融合应用，加速全环节、全要素、全链条数字化改造，并沉淀一批技术先进、效益良好的系统解决方案，带动产业链上下游协同转型。</w:t>
      </w:r>
    </w:p>
    <w:p w14:paraId="61341175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（二）数字领航企业（中小企业）</w:t>
      </w:r>
    </w:p>
    <w:p w14:paraId="27BA7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聚焦中小企业数字化转型</w:t>
      </w:r>
      <w:r>
        <w:rPr>
          <w:rFonts w:hint="eastAsia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深度有待提高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等问题，引导中小企业聚焦重点业务场景关键需求和外部产业链配套需求，探索新一代信息技术应用场景，加快“小快轻准”数字化技术产品和解决方案应用普及，针对性提升成本、质量、效率、绿色、安全等方面效益，塑造差异化竞争力优势，实现高质量发展。</w:t>
      </w:r>
    </w:p>
    <w:p w14:paraId="65200300">
      <w:pPr>
        <w:widowControl w:val="0"/>
        <w:bidi w:val="0"/>
        <w:adjustRightInd w:val="0"/>
        <w:spacing w:line="60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四、数字化供应链</w:t>
      </w:r>
    </w:p>
    <w:p w14:paraId="59C5C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面向培育数字化生态的供应链上下游，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lang w:val="en-US" w:eastAsia="zh-CN"/>
        </w:rPr>
        <w:t>聚焦数字化供应链生态上下游业务协同水平不高、全链条数据贯通难度大、系统解决方案供给不足等问题，在数字化供应链关键环节优化、数字化供应链全链条互联集成、数字化供应链全生态协同创新等方面，遴选一批数字化供应链典型案例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lang w:val="en-US" w:eastAsia="zh-CN"/>
        </w:rPr>
        <w:t>。通过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lang w:val="en-US" w:eastAsia="zh-CN"/>
        </w:rPr>
        <w:t>提炼总结数字化供应链建设的优秀经验，为企业开展数字化供应链建设提供指引和参考。</w:t>
      </w:r>
    </w:p>
    <w:p w14:paraId="03147ACA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（一）数字化供应链关键环节优化</w:t>
      </w:r>
    </w:p>
    <w:p w14:paraId="1A38CCCA"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聚焦数字化供应链关键环节，通过新一代信息技术融合应用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推动基于数据分析和模型应用的流程再造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和业务环节优化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，开展供应链计划与预测、多元化寻源与采购、柔性化生产管理、订单精准交付、数字化客户服务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全面提升供应链数字化运营水平，推动数字化供应链效率提升。</w:t>
      </w:r>
    </w:p>
    <w:p w14:paraId="2D14FB40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（二）数字化供应链全链条互联集成</w:t>
      </w:r>
    </w:p>
    <w:p w14:paraId="5A4F0D63"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聚焦数字化供应链关键业务管控，通过新一代信息技术融合应用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推动供应链核心业务集成运作和数据端到端集成，开展供应链网络结构仿真建模设计、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基于组合式BOM的生产制造、基于订单仿真的物流调度、面向区域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协同的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供应链管理服务</w:t>
      </w:r>
      <w:r>
        <w:rPr>
          <w:rFonts w:hint="eastAsia" w:ascii="Times New Roman" w:hAnsi="Times New Roman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供应链风险预测与防控、供应链综合绩效监测、供应链安全应急机制建设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实现供应链资源全流程全链条追溯，全面提升供应链柔性和韧性水平，打造上下游协同联动的数字化供应链网络。</w:t>
      </w:r>
    </w:p>
    <w:p w14:paraId="1D114875"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（三）数字化供应链全生态协同创新</w:t>
      </w:r>
    </w:p>
    <w:p w14:paraId="503A258A"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聚焦数字化供应链生态运营，通过新一代信息技术融合应用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推动供应链战略优化、内外部资源整合和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基于第三方平台的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服务模式创新，开展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供应链+集采集销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供应链+数字金融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供应链+AI大模型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工业互联网平台+供应链</w:t>
      </w:r>
      <w:r>
        <w:rPr>
          <w:rFonts w:hint="default" w:ascii="Times New Roman" w:hAnsi="Times New Roman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等新模式，以数据驱动供应链业务重构和机制创新，构建开放共享、价值共创的数字化供应链生态系统。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3D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C15A1">
                          <w:pPr>
                            <w:pStyle w:val="2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C15A1">
                    <w:pPr>
                      <w:pStyle w:val="2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8BA36"/>
    <w:multiLevelType w:val="multilevel"/>
    <w:tmpl w:val="C1E8BA3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zUyZjZmNTYzNGM3NWE0MjZmOGEyZmIyYWExMWMifQ=="/>
  </w:docVars>
  <w:rsids>
    <w:rsidRoot w:val="3DCC1EF4"/>
    <w:rsid w:val="0A206642"/>
    <w:rsid w:val="0B933D5F"/>
    <w:rsid w:val="1AB1523A"/>
    <w:rsid w:val="23EE4824"/>
    <w:rsid w:val="2A0D3456"/>
    <w:rsid w:val="32CEB5F7"/>
    <w:rsid w:val="34E81472"/>
    <w:rsid w:val="3DCC1EF4"/>
    <w:rsid w:val="52083A82"/>
    <w:rsid w:val="525D7C11"/>
    <w:rsid w:val="52ED0192"/>
    <w:rsid w:val="5E265C22"/>
    <w:rsid w:val="664D7EC8"/>
    <w:rsid w:val="723C766C"/>
    <w:rsid w:val="75F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ind w:left="432" w:hanging="432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480" w:lineRule="auto"/>
      <w:ind w:left="575" w:hanging="575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/>
      <w:outlineLvl w:val="2"/>
    </w:pPr>
    <w:rPr>
      <w:rFonts w:ascii="Calibri" w:hAnsi="Calibri" w:cs="Times New Roman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cs="Times New Roman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3273</Words>
  <Characters>3303</Characters>
  <Lines>0</Lines>
  <Paragraphs>0</Paragraphs>
  <TotalTime>2</TotalTime>
  <ScaleCrop>false</ScaleCrop>
  <LinksUpToDate>false</LinksUpToDate>
  <CharactersWithSpaces>3303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2024-10-28T14:41:00Z</dcterms:created>
  <dc:creator>陈</dc:creator>
  <cp:lastModifiedBy>lbc</cp:lastModifiedBy>
  <dcterms:modified xsi:type="dcterms:W3CDTF">2024-11-04T00:55:57Z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F596A8BFCDAE4687A8CCE3FED932A559_13</vt:lpwstr>
  </property>
</Properties>
</file>