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厦门市市级工业设计中心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认定申请表</w:t>
      </w: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(工业设计企业)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厦门市工业和信息化局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1.本企业自愿向市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工业和信息</w:t>
      </w:r>
      <w:r>
        <w:rPr>
          <w:rFonts w:hint="eastAsia" w:ascii="仿宋_GB2312" w:hAnsi="仿宋_GB2312" w:eastAsia="仿宋_GB2312"/>
          <w:color w:val="000000"/>
          <w:sz w:val="32"/>
        </w:rPr>
        <w:t>化局提出市级工业设计中心申请。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2.本企业自愿遵守《市级工业设计中心认定管理办法》及相关文件规定。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3.本企业自愿提供市级工业设计中心审查、管理、监督所需的数据资料，并为其审查工作提供方便。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4.本企业所提供的申请表内容和附件材料均真实有效，若出现问题，愿承担一切责任。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spacing w:line="460" w:lineRule="exact"/>
        <w:jc w:val="center"/>
        <w:rPr>
          <w:rFonts w:hint="eastAsia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/>
          <w:sz w:val="32"/>
        </w:rPr>
        <w:t>工业设计企业情况（一）</w:t>
      </w:r>
    </w:p>
    <w:p>
      <w:pPr>
        <w:spacing w:line="4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单位：万元、个、%</w:t>
      </w: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549"/>
        <w:gridCol w:w="1801"/>
        <w:gridCol w:w="162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近两年主要指标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经济指标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工业设计成果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其中:承担国外项目数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/>
          <w:sz w:val="32"/>
        </w:rPr>
        <w:t>工业设计企业情况（二）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工业设计企业情况（三）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97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重点是企业现在的组织体系、</w:t>
            </w:r>
            <w:r>
              <w:rPr>
                <w:rFonts w:hint="eastAsia"/>
                <w:sz w:val="24"/>
              </w:rPr>
              <w:t>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97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19" w:bottom="1440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17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OThiYTAxZTAyMWIxZjgzMjZmMTZlMDk2OTI5ZDkifQ=="/>
  </w:docVars>
  <w:rsids>
    <w:rsidRoot w:val="00000000"/>
    <w:rsid w:val="037F4125"/>
    <w:rsid w:val="3E0D32F8"/>
    <w:rsid w:val="5A4F720F"/>
    <w:rsid w:val="638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997</Words>
  <Characters>1009</Characters>
  <Lines>0</Lines>
  <Paragraphs>0</Paragraphs>
  <TotalTime>0</TotalTime>
  <ScaleCrop>false</ScaleCrop>
  <LinksUpToDate>false</LinksUpToDate>
  <CharactersWithSpaces>1228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旋</cp:lastModifiedBy>
  <dcterms:modified xsi:type="dcterms:W3CDTF">2023-06-19T06:43:22Z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E2E282E02A3A461ABE9837FAAB65E204_13</vt:lpwstr>
  </property>
</Properties>
</file>