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ascii="方正小标宋简体" w:eastAsia="方正小标宋简体" w:hAnsi="方正小标宋简体" w:cs="方正小标宋简体" w:hint="eastAsia"/>
          <w:sz w:val="36"/>
          <w:szCs w:val="36"/>
          <w:lang w:val="en-US" w:eastAsia="zh-CN"/>
        </w:rPr>
      </w:pPr>
      <w:r>
        <w:rPr>
          <w:rFonts w:ascii="方正小标宋简体" w:eastAsia="方正小标宋简体" w:hAnsi="方正小标宋简体" w:cs="方正小标宋简体" w:hint="eastAsia"/>
          <w:sz w:val="36"/>
          <w:szCs w:val="36"/>
          <w:lang w:val="en-US" w:eastAsia="zh-CN"/>
        </w:rPr>
        <w:t>厦门市人民政府关于加快推进新能源新材料产业高质量发展的若干措施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ascii="楷体_GB2312" w:eastAsia="楷体_GB2312" w:hAnsi="楷体_GB2312" w:cs="楷体_GB2312" w:hint="eastAsia"/>
          <w:sz w:val="36"/>
          <w:szCs w:val="36"/>
          <w:lang w:val="en-US" w:eastAsia="zh-CN"/>
        </w:rPr>
      </w:pPr>
      <w:r>
        <w:rPr>
          <w:rFonts w:ascii="楷体_GB2312" w:eastAsia="楷体_GB2312" w:hAnsi="楷体_GB2312" w:cs="楷体_GB2312" w:hint="eastAsia"/>
          <w:sz w:val="36"/>
          <w:szCs w:val="36"/>
          <w:lang w:val="en-US" w:eastAsia="zh-CN"/>
        </w:rPr>
        <w:t>（征求意见稿）</w:t>
      </w:r>
    </w:p>
    <w:p>
      <w:pPr>
        <w:keepNext w:val="0"/>
        <w:keepLines w:val="0"/>
        <w:pageBreakBefore w:val="0"/>
        <w:kinsoku/>
        <w:overflowPunct/>
        <w:topLinePunct w:val="0"/>
        <w:autoSpaceDE/>
        <w:autoSpaceDN/>
        <w:bidi w:val="0"/>
        <w:adjustRightInd/>
        <w:snapToGrid/>
        <w:spacing w:beforeLines="0" w:afterLines="0" w:line="600" w:lineRule="exact"/>
        <w:ind w:firstLine="420" w:firstLineChars="200"/>
        <w:rPr>
          <w:rFonts w:ascii="仿宋_GB2312" w:eastAsia="仿宋_GB2312" w:hAnsi="仿宋_GB2312" w:cs="仿宋_GB2312" w:hint="eastAsia"/>
          <w:i w:val="0"/>
          <w:caps w:val="0"/>
          <w:color w:val="000000"/>
          <w:spacing w:val="0"/>
          <w:kern w:val="0"/>
          <w:sz w:val="32"/>
          <w:szCs w:val="32"/>
          <w:shd w:val="clear" w:color="auto" w:fill="FFFFFF"/>
          <w:lang w:val="en-US" w:eastAsia="zh-CN" w:bidi="ar"/>
        </w:rPr>
      </w:pPr>
      <w:r>
        <w:rPr>
          <w:rFonts w:ascii="仿宋_GB2312" w:eastAsia="仿宋_GB2312" w:hAnsi="仿宋_GB2312" w:cs="仿宋_GB2312" w:hint="eastAsia"/>
          <w:i w:val="0"/>
          <w:caps w:val="0"/>
          <w:color w:val="000000"/>
          <w:spacing w:val="0"/>
          <w:kern w:val="0"/>
          <w:sz w:val="32"/>
          <w:szCs w:val="32"/>
          <w:shd w:val="clear" w:color="auto" w:fill="FFFFFF"/>
          <w:lang w:val="en-US" w:eastAsia="zh-CN" w:bidi="ar"/>
        </w:rPr>
        <w:t>为加快推进新能源、新材料产业发展，根据《厦门市重点发展产业行业方案》和《福建省发展</w:t>
      </w:r>
      <w:bookmarkStart w:id="0" w:name="_GoBack"/>
      <w:bookmarkEnd w:id="0"/>
      <w:r>
        <w:rPr>
          <w:rFonts w:ascii="仿宋_GB2312" w:eastAsia="仿宋_GB2312" w:hAnsi="仿宋_GB2312" w:cs="仿宋_GB2312" w:hint="eastAsia"/>
          <w:i w:val="0"/>
          <w:caps w:val="0"/>
          <w:color w:val="000000"/>
          <w:spacing w:val="0"/>
          <w:kern w:val="0"/>
          <w:sz w:val="32"/>
          <w:szCs w:val="32"/>
          <w:shd w:val="clear" w:color="auto" w:fill="FFFFFF"/>
          <w:lang w:val="en-US" w:eastAsia="zh-CN" w:bidi="ar"/>
        </w:rPr>
        <w:t>和改革委员会关于加快推动锂电新能源材料产业高质量发展的实施意见》精神，结合本市实际制定本措施。</w:t>
      </w:r>
    </w:p>
    <w:p>
      <w:pPr>
        <w:pStyle w:val="1New"/>
        <w:keepNext/>
        <w:keepLines/>
        <w:pageBreakBefore w:val="0"/>
        <w:widowControl w:val="0"/>
        <w:kinsoku/>
        <w:wordWrap/>
        <w:overflowPunct/>
        <w:topLinePunct w:val="0"/>
        <w:autoSpaceDE/>
        <w:autoSpaceDN/>
        <w:bidi w:val="0"/>
        <w:adjustRightInd/>
        <w:snapToGrid w:val="0"/>
        <w:spacing w:before="0" w:beforeLines="0" w:after="0" w:afterLines="0" w:line="600" w:lineRule="exact"/>
        <w:ind w:right="0" w:firstLine="420" w:rightChars="0" w:firstLineChars="200"/>
        <w:jc w:val="both"/>
        <w:textAlignment w:val="auto"/>
        <w:outlineLvl w:val="0"/>
        <w:rPr>
          <w:rFonts w:ascii="黑体" w:eastAsia="黑体" w:hAnsi="黑体" w:cs="黑体" w:hint="eastAsia"/>
          <w:b w:val="0"/>
          <w:bCs/>
          <w:kern w:val="2"/>
          <w:sz w:val="32"/>
          <w:szCs w:val="32"/>
          <w:lang w:val="en-US" w:eastAsia="zh-CN" w:bidi="ar-SA"/>
        </w:rPr>
      </w:pPr>
      <w:r>
        <w:rPr>
          <w:rFonts w:ascii="黑体" w:eastAsia="黑体" w:hAnsi="黑体" w:cs="黑体" w:hint="eastAsia"/>
          <w:b w:val="0"/>
          <w:bCs/>
          <w:kern w:val="2"/>
          <w:sz w:val="32"/>
          <w:szCs w:val="32"/>
          <w:lang w:val="en-US" w:eastAsia="zh-CN" w:bidi="ar-SA"/>
        </w:rPr>
        <w:t>一、适用范围</w:t>
      </w:r>
    </w:p>
    <w:p>
      <w:pPr>
        <w:keepNext w:val="0"/>
        <w:keepLines w:val="0"/>
        <w:pageBreakBefore w:val="0"/>
        <w:kinsoku/>
        <w:overflowPunct/>
        <w:topLinePunct w:val="0"/>
        <w:autoSpaceDE/>
        <w:autoSpaceDN/>
        <w:bidi w:val="0"/>
        <w:adjustRightInd/>
        <w:snapToGrid/>
        <w:spacing w:beforeLines="0" w:afterLines="0" w:line="600" w:lineRule="exact"/>
        <w:ind w:firstLine="420" w:firstLineChars="200"/>
        <w:rPr>
          <w:rFonts w:ascii="仿宋_GB2312" w:eastAsia="仿宋_GB2312" w:hAnsi="仿宋_GB2312" w:cs="仿宋_GB2312" w:hint="eastAsia"/>
          <w:i w:val="0"/>
          <w:caps w:val="0"/>
          <w:color w:val="000000"/>
          <w:spacing w:val="0"/>
          <w:kern w:val="0"/>
          <w:sz w:val="32"/>
          <w:szCs w:val="32"/>
          <w:shd w:val="clear" w:color="auto" w:fill="FFFFFF"/>
          <w:lang w:val="en-US" w:eastAsia="zh-CN" w:bidi="ar"/>
        </w:rPr>
      </w:pPr>
      <w:r>
        <w:rPr>
          <w:rFonts w:ascii="仿宋_GB2312" w:eastAsia="仿宋_GB2312" w:hAnsi="仿宋_GB2312" w:cs="仿宋_GB2312" w:hint="eastAsia"/>
          <w:i w:val="0"/>
          <w:caps w:val="0"/>
          <w:color w:val="000000"/>
          <w:spacing w:val="0"/>
          <w:kern w:val="0"/>
          <w:sz w:val="32"/>
          <w:szCs w:val="32"/>
          <w:shd w:val="clear" w:color="auto" w:fill="FFFFFF"/>
          <w:lang w:val="en-US" w:eastAsia="zh-CN" w:bidi="ar"/>
        </w:rPr>
        <w:t>本措施适用于厦门市范围内注册、登记和纳税，具有独立法人资格，符合国家产业发展方向，项目在厦门市辖区实施，专门从事储能电池、动力电池及主要配套材料（正、负极材料、隔膜材料等）和重点新材料（</w:t>
      </w:r>
      <w:r>
        <w:rPr>
          <w:rFonts w:ascii="仿宋_GB2312" w:eastAsia="仿宋_GB2312" w:hAnsi="仿宋_GB2312" w:cs="仿宋_GB2312" w:hint="eastAsia"/>
          <w:i w:val="0"/>
          <w:caps w:val="0"/>
          <w:color w:val="000000"/>
          <w:spacing w:val="0"/>
          <w:kern w:val="0"/>
          <w:sz w:val="32"/>
          <w:szCs w:val="32"/>
          <w:shd w:val="clear" w:color="auto" w:fill="FFFFFF"/>
          <w:lang w:val="zh-TW" w:eastAsia="zh-CN" w:bidi="ar"/>
        </w:rPr>
        <w:t>符合工信部《重点新材料首批次应用示范指导目录》要求</w:t>
      </w:r>
      <w:r>
        <w:rPr>
          <w:rFonts w:ascii="仿宋_GB2312" w:eastAsia="仿宋_GB2312" w:hAnsi="仿宋_GB2312" w:cs="仿宋_GB2312" w:hint="eastAsia"/>
          <w:i w:val="0"/>
          <w:caps w:val="0"/>
          <w:color w:val="000000"/>
          <w:spacing w:val="0"/>
          <w:kern w:val="0"/>
          <w:sz w:val="32"/>
          <w:szCs w:val="32"/>
          <w:shd w:val="clear" w:color="auto" w:fill="FFFFFF"/>
          <w:lang w:val="en-US" w:eastAsia="zh-CN" w:bidi="ar"/>
        </w:rPr>
        <w:t>)等研发和生产的企业。</w:t>
      </w:r>
    </w:p>
    <w:p>
      <w:pPr>
        <w:pageBreakBefore w:val="0"/>
        <w:widowControl w:val="0"/>
        <w:kinsoku/>
        <w:wordWrap/>
        <w:overflowPunct/>
        <w:topLinePunct w:val="0"/>
        <w:autoSpaceDE/>
        <w:autoSpaceDN/>
        <w:bidi w:val="0"/>
        <w:adjustRightInd/>
        <w:spacing w:beforeLines="0" w:afterLines="0" w:line="600" w:lineRule="exact"/>
        <w:ind w:firstLine="420" w:firstLineChars="200"/>
        <w:textAlignment w:val="auto"/>
        <w:rPr>
          <w:rFonts w:ascii="黑体" w:eastAsia="黑体" w:hAnsi="黑体" w:cs="黑体" w:hint="eastAsia"/>
          <w:b w:val="0"/>
          <w:bCs/>
          <w:kern w:val="2"/>
          <w:sz w:val="32"/>
          <w:szCs w:val="32"/>
          <w:lang w:val="en-US" w:eastAsia="zh-CN" w:bidi="ar-SA"/>
        </w:rPr>
      </w:pPr>
      <w:r>
        <w:rPr>
          <w:rFonts w:ascii="黑体" w:eastAsia="黑体" w:hAnsi="黑体" w:cs="黑体" w:hint="eastAsia"/>
          <w:b w:val="0"/>
          <w:bCs/>
          <w:kern w:val="2"/>
          <w:sz w:val="32"/>
          <w:szCs w:val="32"/>
          <w:lang w:val="en-US" w:eastAsia="zh-CN" w:bidi="ar-SA"/>
        </w:rPr>
        <w:t>二、主要内容</w:t>
      </w:r>
    </w:p>
    <w:p>
      <w:pPr>
        <w:keepNext w:val="0"/>
        <w:keepLines w:val="0"/>
        <w:pageBreakBefore w:val="0"/>
        <w:kinsoku/>
        <w:overflowPunct/>
        <w:topLinePunct w:val="0"/>
        <w:autoSpaceDE/>
        <w:autoSpaceDN/>
        <w:bidi w:val="0"/>
        <w:adjustRightInd/>
        <w:snapToGrid/>
        <w:spacing w:beforeLines="0" w:afterLines="0" w:line="600" w:lineRule="exact"/>
        <w:ind w:firstLine="420" w:firstLineChars="200"/>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pPr>
      <w:r>
        <w:rPr>
          <w:rFonts w:ascii="仿宋_GB2312" w:eastAsia="仿宋_GB2312" w:hAnsi="仿宋_GB2312" w:cs="仿宋_GB2312" w:hint="eastAsia"/>
          <w:b/>
          <w:bCs/>
          <w:i w:val="0"/>
          <w:caps w:val="0"/>
          <w:color w:val="000000"/>
          <w:spacing w:val="0"/>
          <w:kern w:val="0"/>
          <w:sz w:val="32"/>
          <w:szCs w:val="32"/>
          <w:shd w:val="clear" w:color="auto" w:fill="FFFFFF"/>
          <w:lang w:val="en-US" w:eastAsia="zh-CN" w:bidi="ar"/>
        </w:rPr>
        <w:t>（一）支持高端人才引进</w:t>
      </w:r>
      <w:r>
        <w:rPr>
          <w:rFonts w:ascii="仿宋_GB2312" w:eastAsia="仿宋_GB2312" w:hAnsi="仿宋_GB2312" w:cs="仿宋_GB2312" w:hint="eastAsia"/>
          <w:b/>
          <w:bCs/>
          <w:i w:val="0"/>
          <w:caps w:val="0"/>
          <w:color w:val="000000"/>
          <w:spacing w:val="0"/>
          <w:kern w:val="0"/>
          <w:sz w:val="32"/>
          <w:szCs w:val="32"/>
          <w:highlight w:val="none"/>
          <w:shd w:val="clear" w:color="auto" w:fill="FFFFFF"/>
          <w:lang w:val="en-US" w:eastAsia="zh-CN" w:bidi="ar"/>
        </w:rPr>
        <w:t>和本地骨干人才留存。</w:t>
      </w:r>
      <w:r>
        <w:rPr>
          <w:rFonts w:ascii="仿宋_GB2312" w:eastAsia="仿宋_GB2312" w:hAnsi="仿宋_GB2312" w:cs="仿宋_GB2312" w:hint="eastAsia"/>
          <w:b w:val="0"/>
          <w:bCs w:val="0"/>
          <w:i w:val="0"/>
          <w:caps w:val="0"/>
          <w:color w:val="000000"/>
          <w:spacing w:val="0"/>
          <w:kern w:val="0"/>
          <w:sz w:val="32"/>
          <w:szCs w:val="32"/>
          <w:highlight w:val="none"/>
          <w:shd w:val="clear" w:color="auto" w:fill="FFFFFF"/>
          <w:lang w:val="en-US" w:eastAsia="zh-CN" w:bidi="ar"/>
        </w:rPr>
        <w:t>在我市现有人才政策的基础上，</w:t>
      </w:r>
      <w:r>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t>对发布项目申报通知当年和前2个年度内企业从外地引进的高级技术人才(年工资及奖金收入合计50万以上，不含股权分红），及在企业工作满5年以上的（以实际缴纳社会保险金时间为准）骨干技术人才(工资、奖金收入合计15-30万的，不含股权分红），按个人工资、奖金收入的10%给予奖励，每人可享受奖励时限2年。</w:t>
      </w:r>
    </w:p>
    <w:p>
      <w:pPr>
        <w:pStyle w:val="BodyText"/>
        <w:spacing w:beforeLines="0" w:afterLines="0" w:line="600" w:lineRule="exact"/>
        <w:rPr>
          <w:rFonts w:hint="default"/>
          <w:highlight w:val="none"/>
          <w:lang w:val="en-US" w:eastAsia="zh-CN"/>
        </w:rPr>
      </w:pPr>
      <w:r>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t xml:space="preserve">   </w:t>
      </w:r>
      <w:r>
        <w:rPr>
          <w:rFonts w:ascii="仿宋_GB2312" w:eastAsia="仿宋_GB2312" w:hAnsi="仿宋_GB2312" w:cs="仿宋_GB2312" w:hint="eastAsia"/>
          <w:b/>
          <w:bCs/>
          <w:i w:val="0"/>
          <w:caps w:val="0"/>
          <w:color w:val="000000"/>
          <w:spacing w:val="0"/>
          <w:kern w:val="0"/>
          <w:sz w:val="32"/>
          <w:szCs w:val="32"/>
          <w:highlight w:val="none"/>
          <w:shd w:val="clear" w:color="auto" w:fill="FFFFFF"/>
          <w:lang w:val="en-US" w:eastAsia="zh-CN" w:bidi="ar"/>
        </w:rPr>
        <w:t xml:space="preserve"> （二）鼓励产学研用合作。</w:t>
      </w:r>
      <w:r>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t>支持企业与高校、院所开展</w:t>
      </w:r>
      <w:r>
        <w:rPr>
          <w:rFonts w:ascii="仿宋_GB2312" w:eastAsia="仿宋_GB2312" w:hAnsi="仿宋_GB2312" w:cs="仿宋_GB2312" w:hint="eastAsia"/>
          <w:i w:val="0"/>
          <w:caps w:val="0"/>
          <w:color w:val="auto"/>
          <w:spacing w:val="0"/>
          <w:kern w:val="0"/>
          <w:sz w:val="32"/>
          <w:szCs w:val="32"/>
          <w:highlight w:val="none"/>
          <w:shd w:val="clear" w:color="auto" w:fill="FFFFFF"/>
          <w:lang w:val="en-US" w:eastAsia="zh-CN" w:bidi="ar"/>
        </w:rPr>
        <w:t>产学研合作，对形成具有自主知识产权的产业化项目，项目产品年销售收入超过300万元以上的，按企业支付给</w:t>
      </w:r>
      <w:r>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t>高校、院所产学研合作</w:t>
      </w:r>
      <w:r>
        <w:rPr>
          <w:rFonts w:ascii="仿宋_GB2312" w:eastAsia="仿宋_GB2312" w:hAnsi="仿宋_GB2312" w:cs="仿宋_GB2312" w:hint="eastAsia"/>
          <w:i w:val="0"/>
          <w:caps w:val="0"/>
          <w:color w:val="auto"/>
          <w:spacing w:val="0"/>
          <w:kern w:val="0"/>
          <w:sz w:val="32"/>
          <w:szCs w:val="32"/>
          <w:highlight w:val="none"/>
          <w:shd w:val="clear" w:color="auto" w:fill="FFFFFF"/>
          <w:lang w:val="en-US" w:eastAsia="zh-CN" w:bidi="ar"/>
        </w:rPr>
        <w:t>项目研发费用的50%给予补助，单个项目补助最高不超过100万元，每个企业每年最多申报2项。</w:t>
      </w:r>
    </w:p>
    <w:p>
      <w:pPr>
        <w:keepNext w:val="0"/>
        <w:keepLines w:val="0"/>
        <w:pageBreakBefore w:val="0"/>
        <w:kinsoku/>
        <w:overflowPunct/>
        <w:topLinePunct w:val="0"/>
        <w:autoSpaceDE/>
        <w:autoSpaceDN/>
        <w:bidi w:val="0"/>
        <w:adjustRightInd/>
        <w:snapToGrid/>
        <w:spacing w:beforeLines="0" w:afterLines="0" w:line="600" w:lineRule="exact"/>
        <w:ind w:firstLine="420" w:firstLineChars="200"/>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pPr>
      <w:r>
        <w:rPr>
          <w:rFonts w:ascii="仿宋_GB2312" w:eastAsia="仿宋_GB2312" w:hAnsi="仿宋_GB2312" w:cs="仿宋_GB2312" w:hint="eastAsia"/>
          <w:b/>
          <w:bCs/>
          <w:i w:val="0"/>
          <w:caps w:val="0"/>
          <w:color w:val="000000"/>
          <w:spacing w:val="0"/>
          <w:kern w:val="0"/>
          <w:sz w:val="32"/>
          <w:szCs w:val="32"/>
          <w:highlight w:val="none"/>
          <w:shd w:val="clear" w:color="auto" w:fill="FFFFFF"/>
          <w:lang w:val="en-US" w:eastAsia="zh-CN" w:bidi="ar"/>
        </w:rPr>
        <w:t>（三）支持核心技术攻关。</w:t>
      </w:r>
      <w:r>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t>对企业承担实施工信部产业专项的，按企业所获实际资助额的50%给予配套补助，单个项目补助最高不超过500万元。</w:t>
      </w:r>
    </w:p>
    <w:p>
      <w:pPr>
        <w:keepNext w:val="0"/>
        <w:keepLines w:val="0"/>
        <w:pageBreakBefore w:val="0"/>
        <w:kinsoku/>
        <w:overflowPunct/>
        <w:topLinePunct w:val="0"/>
        <w:autoSpaceDE/>
        <w:autoSpaceDN/>
        <w:bidi w:val="0"/>
        <w:adjustRightInd/>
        <w:snapToGrid/>
        <w:spacing w:beforeLines="0" w:afterLines="0" w:line="600" w:lineRule="exact"/>
        <w:ind w:firstLine="420" w:firstLineChars="200"/>
        <w:rPr>
          <w:rFonts w:eastAsia="方正仿宋简体" w:hint="default"/>
          <w:highlight w:val="none"/>
          <w:lang w:val="en-US" w:eastAsia="zh-CN"/>
        </w:rPr>
      </w:pPr>
      <w:r>
        <w:rPr>
          <w:rFonts w:ascii="仿宋_GB2312" w:eastAsia="仿宋_GB2312" w:hAnsi="仿宋_GB2312" w:cs="仿宋_GB2312" w:hint="eastAsia"/>
          <w:b/>
          <w:bCs/>
          <w:i w:val="0"/>
          <w:caps w:val="0"/>
          <w:color w:val="000000"/>
          <w:spacing w:val="0"/>
          <w:kern w:val="0"/>
          <w:sz w:val="32"/>
          <w:szCs w:val="32"/>
          <w:highlight w:val="none"/>
          <w:shd w:val="clear" w:color="auto" w:fill="FFFFFF"/>
          <w:lang w:val="en-US" w:eastAsia="zh-CN" w:bidi="ar"/>
        </w:rPr>
        <w:t>（四）支持产品推广应用。</w:t>
      </w:r>
      <w:r>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t>对符合福建省重点新材料首批次生产应用奖励条件的企业，按符合条件产品上一年度销售总额的5%给予奖励，同一企业每年最多申报2个产品，支持总额不超过200万元。</w:t>
      </w:r>
    </w:p>
    <w:p>
      <w:pPr>
        <w:keepNext w:val="0"/>
        <w:keepLines w:val="0"/>
        <w:pageBreakBefore w:val="0"/>
        <w:kinsoku/>
        <w:overflowPunct/>
        <w:topLinePunct w:val="0"/>
        <w:autoSpaceDE/>
        <w:autoSpaceDN/>
        <w:bidi w:val="0"/>
        <w:adjustRightInd/>
        <w:snapToGrid/>
        <w:spacing w:beforeLines="0" w:afterLines="0" w:line="600" w:lineRule="exact"/>
        <w:ind w:firstLine="420" w:firstLineChars="200"/>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pPr>
      <w:r>
        <w:rPr>
          <w:rFonts w:ascii="仿宋_GB2312" w:eastAsia="仿宋_GB2312" w:hAnsi="仿宋_GB2312" w:cs="仿宋_GB2312" w:hint="eastAsia"/>
          <w:b/>
          <w:bCs/>
          <w:i w:val="0"/>
          <w:caps w:val="0"/>
          <w:color w:val="000000"/>
          <w:spacing w:val="0"/>
          <w:kern w:val="0"/>
          <w:sz w:val="32"/>
          <w:szCs w:val="32"/>
          <w:highlight w:val="none"/>
          <w:shd w:val="clear" w:color="auto" w:fill="FFFFFF"/>
          <w:lang w:val="en-US" w:eastAsia="zh-CN" w:bidi="ar"/>
        </w:rPr>
        <w:t>（五）扶持产品应用投保。</w:t>
      </w:r>
      <w:r>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t>支持企业申报国家</w:t>
      </w:r>
      <w:r>
        <w:rPr>
          <w:rFonts w:ascii="仿宋_GB2312" w:eastAsia="仿宋_GB2312" w:hAnsi="仿宋_GB2312" w:cs="仿宋_GB2312" w:hint="eastAsia"/>
          <w:i w:val="0"/>
          <w:caps w:val="0"/>
          <w:color w:val="000000"/>
          <w:spacing w:val="0"/>
          <w:kern w:val="0"/>
          <w:sz w:val="32"/>
          <w:szCs w:val="32"/>
          <w:highlight w:val="none"/>
          <w:shd w:val="clear" w:color="auto" w:fill="FFFFFF"/>
          <w:lang w:val="zh-TW" w:eastAsia="zh-CN" w:bidi="ar"/>
        </w:rPr>
        <w:t>重点新材料首批次应用保险补偿，对获工信部保险补偿的企业按获补偿金额的</w:t>
      </w:r>
      <w:r>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t>20%</w:t>
      </w:r>
      <w:r>
        <w:rPr>
          <w:rFonts w:ascii="仿宋_GB2312" w:eastAsia="仿宋_GB2312" w:hAnsi="仿宋_GB2312" w:cs="仿宋_GB2312" w:hint="eastAsia"/>
          <w:i w:val="0"/>
          <w:caps w:val="0"/>
          <w:color w:val="000000"/>
          <w:spacing w:val="0"/>
          <w:kern w:val="0"/>
          <w:sz w:val="32"/>
          <w:szCs w:val="32"/>
          <w:highlight w:val="none"/>
          <w:shd w:val="clear" w:color="auto" w:fill="FFFFFF"/>
          <w:lang w:val="zh-TW" w:eastAsia="zh-CN" w:bidi="ar"/>
        </w:rPr>
        <w:t>给予配套奖励，奖励金额最高不超过</w:t>
      </w:r>
      <w:r>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t>200万元。</w:t>
      </w:r>
    </w:p>
    <w:p>
      <w:pPr>
        <w:keepNext w:val="0"/>
        <w:keepLines w:val="0"/>
        <w:pageBreakBefore w:val="0"/>
        <w:kinsoku/>
        <w:overflowPunct/>
        <w:topLinePunct w:val="0"/>
        <w:autoSpaceDE/>
        <w:autoSpaceDN/>
        <w:bidi w:val="0"/>
        <w:adjustRightInd/>
        <w:snapToGrid/>
        <w:spacing w:beforeLines="0" w:afterLines="0" w:line="600" w:lineRule="exact"/>
        <w:ind w:firstLine="420" w:firstLineChars="200"/>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pPr>
      <w:r>
        <w:rPr>
          <w:rFonts w:ascii="仿宋_GB2312" w:eastAsia="仿宋_GB2312" w:hAnsi="仿宋_GB2312" w:cs="仿宋_GB2312" w:hint="eastAsia"/>
          <w:b/>
          <w:bCs/>
          <w:i w:val="0"/>
          <w:caps w:val="0"/>
          <w:color w:val="000000"/>
          <w:spacing w:val="0"/>
          <w:kern w:val="0"/>
          <w:sz w:val="32"/>
          <w:szCs w:val="32"/>
          <w:highlight w:val="none"/>
          <w:shd w:val="clear" w:color="auto" w:fill="FFFFFF"/>
          <w:lang w:val="en-US" w:eastAsia="zh-CN" w:bidi="ar"/>
        </w:rPr>
        <w:t>（六）支持举办行业活动。</w:t>
      </w:r>
      <w:r>
        <w:rPr>
          <w:rFonts w:ascii="仿宋_GB2312" w:eastAsia="仿宋_GB2312" w:hAnsi="仿宋_GB2312" w:cs="仿宋_GB2312" w:hint="eastAsia"/>
          <w:i w:val="0"/>
          <w:caps w:val="0"/>
          <w:color w:val="000000"/>
          <w:spacing w:val="0"/>
          <w:kern w:val="0"/>
          <w:sz w:val="32"/>
          <w:szCs w:val="32"/>
          <w:highlight w:val="none"/>
          <w:shd w:val="clear" w:color="auto" w:fill="FFFFFF"/>
          <w:lang w:val="en-US" w:eastAsia="zh-CN" w:bidi="ar"/>
        </w:rPr>
        <w:t>对在厦举办相关产业发展方向且有较大影响力的高端论坛、学术会议、产业大会等非营利性活动，报经厦门市工业和信息化局同意，对活动的专家食宿费、场租费、交通费、资料费等支出的50%给予补助，每场活动补助最高不超过100万元。</w:t>
      </w:r>
    </w:p>
    <w:p>
      <w:pPr>
        <w:pStyle w:val="1New"/>
        <w:keepNext/>
        <w:keepLines/>
        <w:pageBreakBefore w:val="0"/>
        <w:widowControl w:val="0"/>
        <w:kinsoku/>
        <w:wordWrap/>
        <w:overflowPunct/>
        <w:topLinePunct w:val="0"/>
        <w:autoSpaceDE/>
        <w:autoSpaceDN/>
        <w:bidi w:val="0"/>
        <w:adjustRightInd/>
        <w:snapToGrid w:val="0"/>
        <w:spacing w:before="0" w:beforeLines="0" w:after="0" w:afterLines="0" w:line="600" w:lineRule="exact"/>
        <w:ind w:left="0" w:right="0" w:firstLine="420" w:leftChars="0" w:rightChars="0" w:firstLineChars="200"/>
        <w:jc w:val="both"/>
        <w:textAlignment w:val="auto"/>
        <w:outlineLvl w:val="0"/>
        <w:rPr>
          <w:rFonts w:ascii="黑体" w:eastAsia="黑体" w:hAnsi="黑体" w:cs="黑体" w:hint="eastAsia"/>
          <w:b w:val="0"/>
          <w:bCs/>
          <w:kern w:val="2"/>
          <w:sz w:val="32"/>
          <w:szCs w:val="32"/>
          <w:lang w:val="en-US" w:eastAsia="zh-CN" w:bidi="ar-SA"/>
        </w:rPr>
      </w:pPr>
      <w:r>
        <w:rPr>
          <w:rFonts w:ascii="黑体" w:eastAsia="黑体" w:hAnsi="黑体" w:cs="黑体" w:hint="eastAsia"/>
          <w:b w:val="0"/>
          <w:bCs/>
          <w:kern w:val="2"/>
          <w:sz w:val="32"/>
          <w:szCs w:val="32"/>
          <w:lang w:val="en-US" w:eastAsia="zh-CN" w:bidi="ar-SA"/>
        </w:rPr>
        <w:t>三、附则</w:t>
      </w:r>
    </w:p>
    <w:p>
      <w:pPr>
        <w:keepNext w:val="0"/>
        <w:keepLines w:val="0"/>
        <w:pageBreakBefore w:val="0"/>
        <w:widowControl/>
        <w:kinsoku/>
        <w:wordWrap/>
        <w:topLinePunct w:val="0"/>
        <w:bidi w:val="0"/>
        <w:adjustRightInd/>
        <w:snapToGrid/>
        <w:spacing w:beforeLines="0" w:afterLines="0" w:line="600" w:lineRule="exact"/>
        <w:ind w:firstLine="420" w:firstLineChars="200"/>
        <w:textAlignment w:val="auto"/>
        <w:rPr>
          <w:rFonts w:ascii="仿宋_GB2312" w:eastAsia="仿宋_GB2312" w:hAnsi="仿宋_GB2312" w:cs="仿宋_GB2312" w:hint="eastAsia"/>
          <w:b w:val="0"/>
          <w:bCs w:val="0"/>
          <w:color w:val="000000"/>
          <w:kern w:val="0"/>
          <w:sz w:val="32"/>
          <w:szCs w:val="32"/>
          <w:highlight w:val="none"/>
          <w:shd w:val="clear" w:color="auto" w:fill="FFFFFF"/>
          <w:lang w:bidi="ar"/>
        </w:rPr>
      </w:pPr>
      <w:r>
        <w:rPr>
          <w:rFonts w:ascii="仿宋_GB2312" w:eastAsia="仿宋_GB2312" w:hAnsi="仿宋_GB2312" w:cs="仿宋_GB2312" w:hint="eastAsia"/>
          <w:b w:val="0"/>
          <w:bCs w:val="0"/>
          <w:color w:val="000000"/>
          <w:kern w:val="0"/>
          <w:sz w:val="32"/>
          <w:szCs w:val="32"/>
          <w:highlight w:val="none"/>
          <w:shd w:val="clear" w:color="auto" w:fill="FFFFFF"/>
          <w:lang w:bidi="ar"/>
        </w:rPr>
        <w:t>1.本</w:t>
      </w:r>
      <w:r>
        <w:rPr>
          <w:rFonts w:ascii="仿宋_GB2312" w:eastAsia="仿宋_GB2312" w:hAnsi="仿宋_GB2312" w:cs="仿宋_GB2312" w:hint="eastAsia"/>
          <w:b w:val="0"/>
          <w:bCs w:val="0"/>
          <w:color w:val="000000"/>
          <w:kern w:val="0"/>
          <w:sz w:val="32"/>
          <w:szCs w:val="32"/>
          <w:highlight w:val="none"/>
          <w:shd w:val="clear" w:color="auto" w:fill="FFFFFF"/>
          <w:lang w:eastAsia="zh-CN" w:bidi="ar"/>
        </w:rPr>
        <w:t>措施</w:t>
      </w:r>
      <w:r>
        <w:rPr>
          <w:rFonts w:ascii="仿宋_GB2312" w:eastAsia="仿宋_GB2312" w:hAnsi="仿宋_GB2312" w:cs="仿宋_GB2312" w:hint="eastAsia"/>
          <w:b w:val="0"/>
          <w:bCs w:val="0"/>
          <w:color w:val="000000"/>
          <w:kern w:val="0"/>
          <w:sz w:val="32"/>
          <w:szCs w:val="32"/>
          <w:highlight w:val="none"/>
          <w:shd w:val="clear" w:color="auto" w:fill="FFFFFF"/>
          <w:lang w:bidi="ar"/>
        </w:rPr>
        <w:t>中</w:t>
      </w:r>
      <w:r>
        <w:rPr>
          <w:rFonts w:ascii="仿宋_GB2312" w:eastAsia="仿宋_GB2312" w:hAnsi="仿宋_GB2312" w:cs="仿宋_GB2312" w:hint="eastAsia"/>
          <w:color w:val="000000"/>
          <w:kern w:val="0"/>
          <w:sz w:val="32"/>
          <w:szCs w:val="32"/>
          <w:highlight w:val="none"/>
          <w:shd w:val="clear" w:color="auto" w:fill="FFFFFF"/>
          <w:lang w:val="en-US" w:eastAsia="zh-CN" w:bidi="ar"/>
        </w:rPr>
        <w:t>的政策为兑现性政策，</w:t>
      </w:r>
      <w:r>
        <w:rPr>
          <w:rFonts w:ascii="仿宋_GB2312" w:eastAsia="仿宋_GB2312" w:hAnsi="仿宋_GB2312" w:cs="仿宋_GB2312" w:hint="eastAsia"/>
          <w:color w:val="000000"/>
          <w:kern w:val="0"/>
          <w:sz w:val="32"/>
          <w:szCs w:val="32"/>
          <w:highlight w:val="none"/>
          <w:shd w:val="clear" w:color="auto" w:fill="FFFFFF"/>
          <w:lang w:val="en-US" w:eastAsia="zh-CN" w:bidi="ar"/>
        </w:rPr>
        <w:t>除“</w:t>
      </w:r>
      <w:r>
        <w:rPr>
          <w:rFonts w:ascii="仿宋_GB2312" w:eastAsia="仿宋_GB2312" w:hAnsi="仿宋_GB2312" w:cs="仿宋_GB2312" w:hint="eastAsia"/>
          <w:b w:val="0"/>
          <w:bCs w:val="0"/>
          <w:i w:val="0"/>
          <w:caps w:val="0"/>
          <w:color w:val="000000"/>
          <w:spacing w:val="0"/>
          <w:kern w:val="0"/>
          <w:sz w:val="32"/>
          <w:szCs w:val="32"/>
          <w:highlight w:val="none"/>
          <w:shd w:val="clear" w:color="auto" w:fill="FFFFFF"/>
          <w:lang w:val="en-US" w:eastAsia="zh-CN" w:bidi="ar"/>
        </w:rPr>
        <w:t>支持高端人才引进和本地骨干人才留存”可与本市现有相关同类补助政策叠加享受外，其余与</w:t>
      </w:r>
      <w:r>
        <w:rPr>
          <w:rFonts w:ascii="仿宋_GB2312" w:eastAsia="仿宋_GB2312" w:hAnsi="仿宋_GB2312" w:cs="仿宋_GB2312" w:hint="eastAsia"/>
          <w:b w:val="0"/>
          <w:bCs w:val="0"/>
          <w:color w:val="000000"/>
          <w:kern w:val="0"/>
          <w:sz w:val="32"/>
          <w:szCs w:val="32"/>
          <w:highlight w:val="none"/>
          <w:shd w:val="clear" w:color="auto" w:fill="FFFFFF"/>
          <w:lang w:bidi="ar"/>
        </w:rPr>
        <w:t>市级同类</w:t>
      </w:r>
      <w:r>
        <w:rPr>
          <w:rFonts w:ascii="仿宋_GB2312" w:eastAsia="仿宋_GB2312" w:hAnsi="仿宋_GB2312" w:cs="仿宋_GB2312" w:hint="eastAsia"/>
          <w:b w:val="0"/>
          <w:bCs w:val="0"/>
          <w:color w:val="000000"/>
          <w:kern w:val="0"/>
          <w:sz w:val="32"/>
          <w:szCs w:val="32"/>
          <w:highlight w:val="none"/>
          <w:shd w:val="clear" w:color="auto" w:fill="FFFFFF"/>
          <w:lang w:eastAsia="zh-CN" w:bidi="ar"/>
        </w:rPr>
        <w:t>的</w:t>
      </w:r>
      <w:r>
        <w:rPr>
          <w:rFonts w:ascii="仿宋_GB2312" w:eastAsia="仿宋_GB2312" w:hAnsi="仿宋_GB2312" w:cs="仿宋_GB2312" w:hint="eastAsia"/>
          <w:b w:val="0"/>
          <w:bCs w:val="0"/>
          <w:color w:val="000000"/>
          <w:kern w:val="0"/>
          <w:sz w:val="32"/>
          <w:szCs w:val="32"/>
          <w:highlight w:val="none"/>
          <w:shd w:val="clear" w:color="auto" w:fill="FFFFFF"/>
          <w:lang w:bidi="ar"/>
        </w:rPr>
        <w:t>政策</w:t>
      </w:r>
      <w:r>
        <w:rPr>
          <w:rFonts w:ascii="仿宋_GB2312" w:eastAsia="仿宋_GB2312" w:hAnsi="仿宋_GB2312" w:cs="仿宋_GB2312" w:hint="eastAsia"/>
          <w:color w:val="000000"/>
          <w:kern w:val="0"/>
          <w:sz w:val="32"/>
          <w:szCs w:val="32"/>
          <w:highlight w:val="none"/>
          <w:shd w:val="clear" w:color="auto" w:fill="FFFFFF"/>
          <w:lang w:val="en-US" w:eastAsia="zh-CN" w:bidi="ar"/>
        </w:rPr>
        <w:t>按“就高</w:t>
      </w:r>
      <w:r>
        <w:rPr>
          <w:rFonts w:ascii="仿宋_GB2312" w:eastAsia="仿宋_GB2312" w:hAnsi="仿宋_GB2312" w:cs="仿宋_GB2312" w:hint="eastAsia"/>
          <w:b w:val="0"/>
          <w:bCs w:val="0"/>
          <w:color w:val="000000"/>
          <w:kern w:val="0"/>
          <w:sz w:val="32"/>
          <w:szCs w:val="32"/>
          <w:highlight w:val="none"/>
          <w:shd w:val="clear" w:color="auto" w:fill="FFFFFF"/>
          <w:lang w:bidi="ar"/>
        </w:rPr>
        <w:t>择优</w:t>
      </w:r>
      <w:r>
        <w:rPr>
          <w:rFonts w:ascii="仿宋_GB2312" w:eastAsia="仿宋_GB2312" w:hAnsi="仿宋_GB2312" w:cs="仿宋_GB2312" w:hint="eastAsia"/>
          <w:color w:val="000000"/>
          <w:kern w:val="0"/>
          <w:sz w:val="32"/>
          <w:szCs w:val="32"/>
          <w:highlight w:val="none"/>
          <w:shd w:val="clear" w:color="auto" w:fill="FFFFFF"/>
          <w:lang w:val="en-US" w:eastAsia="zh-CN" w:bidi="ar"/>
        </w:rPr>
        <w:t>不重复”原则执行。</w:t>
      </w:r>
    </w:p>
    <w:p>
      <w:pPr>
        <w:keepNext w:val="0"/>
        <w:keepLines w:val="0"/>
        <w:pageBreakBefore w:val="0"/>
        <w:widowControl/>
        <w:kinsoku/>
        <w:wordWrap/>
        <w:topLinePunct w:val="0"/>
        <w:bidi w:val="0"/>
        <w:adjustRightInd/>
        <w:snapToGrid/>
        <w:spacing w:beforeLines="0" w:afterLines="0" w:line="600" w:lineRule="exact"/>
        <w:ind w:firstLine="420" w:firstLineChars="200"/>
        <w:textAlignment w:val="auto"/>
        <w:rPr>
          <w:rFonts w:ascii="仿宋_GB2312" w:eastAsia="仿宋_GB2312" w:hAnsi="仿宋_GB2312" w:cs="仿宋_GB2312" w:hint="eastAsia"/>
          <w:b w:val="0"/>
          <w:bCs w:val="0"/>
          <w:color w:val="000000"/>
          <w:kern w:val="0"/>
          <w:sz w:val="32"/>
          <w:szCs w:val="32"/>
          <w:highlight w:val="none"/>
          <w:shd w:val="clear" w:color="auto" w:fill="FFFFFF"/>
          <w:lang w:bidi="ar"/>
        </w:rPr>
      </w:pPr>
      <w:r>
        <w:rPr>
          <w:rFonts w:ascii="仿宋_GB2312" w:eastAsia="仿宋_GB2312" w:hAnsi="仿宋_GB2312" w:cs="仿宋_GB2312" w:hint="eastAsia"/>
          <w:b w:val="0"/>
          <w:bCs w:val="0"/>
          <w:color w:val="000000"/>
          <w:kern w:val="0"/>
          <w:sz w:val="32"/>
          <w:szCs w:val="32"/>
          <w:highlight w:val="none"/>
          <w:shd w:val="clear" w:color="auto" w:fill="FFFFFF"/>
          <w:lang w:val="en-US" w:eastAsia="zh-CN" w:bidi="ar"/>
        </w:rPr>
        <w:t>2.</w:t>
      </w:r>
      <w:r>
        <w:rPr>
          <w:rFonts w:ascii="仿宋_GB2312" w:eastAsia="仿宋_GB2312" w:hAnsi="仿宋_GB2312" w:cs="仿宋_GB2312" w:hint="eastAsia"/>
          <w:b w:val="0"/>
          <w:bCs w:val="0"/>
          <w:color w:val="000000"/>
          <w:kern w:val="0"/>
          <w:sz w:val="32"/>
          <w:szCs w:val="32"/>
          <w:highlight w:val="none"/>
          <w:shd w:val="clear" w:color="auto" w:fill="FFFFFF"/>
          <w:lang w:bidi="ar"/>
        </w:rPr>
        <w:t>“一</w:t>
      </w:r>
      <w:r>
        <w:rPr>
          <w:rFonts w:ascii="仿宋_GB2312" w:eastAsia="仿宋_GB2312" w:hAnsi="仿宋_GB2312" w:cs="仿宋_GB2312" w:hint="eastAsia"/>
          <w:b w:val="0"/>
          <w:bCs w:val="0"/>
          <w:color w:val="000000"/>
          <w:kern w:val="0"/>
          <w:sz w:val="32"/>
          <w:szCs w:val="32"/>
          <w:highlight w:val="none"/>
          <w:shd w:val="clear" w:color="auto" w:fill="FFFFFF"/>
          <w:lang w:eastAsia="zh-CN" w:bidi="ar"/>
        </w:rPr>
        <w:t>企一策</w:t>
      </w:r>
      <w:r>
        <w:rPr>
          <w:rFonts w:ascii="仿宋_GB2312" w:eastAsia="仿宋_GB2312" w:hAnsi="仿宋_GB2312" w:cs="仿宋_GB2312" w:hint="eastAsia"/>
          <w:b w:val="0"/>
          <w:bCs w:val="0"/>
          <w:color w:val="000000"/>
          <w:kern w:val="0"/>
          <w:sz w:val="32"/>
          <w:szCs w:val="32"/>
          <w:highlight w:val="none"/>
          <w:shd w:val="clear" w:color="auto" w:fill="FFFFFF"/>
          <w:lang w:bidi="ar"/>
        </w:rPr>
        <w:t>”</w:t>
      </w:r>
      <w:r>
        <w:rPr>
          <w:rFonts w:ascii="仿宋_GB2312" w:eastAsia="仿宋_GB2312" w:hAnsi="仿宋_GB2312" w:cs="仿宋_GB2312" w:hint="eastAsia"/>
          <w:b w:val="0"/>
          <w:bCs w:val="0"/>
          <w:color w:val="000000"/>
          <w:kern w:val="0"/>
          <w:sz w:val="32"/>
          <w:szCs w:val="32"/>
          <w:highlight w:val="none"/>
          <w:shd w:val="clear" w:color="auto" w:fill="FFFFFF"/>
          <w:lang w:eastAsia="zh-CN" w:bidi="ar"/>
        </w:rPr>
        <w:t>政策与本政策不重复享受</w:t>
      </w:r>
      <w:r>
        <w:rPr>
          <w:rFonts w:ascii="仿宋_GB2312" w:eastAsia="仿宋_GB2312" w:hAnsi="仿宋_GB2312" w:cs="仿宋_GB2312" w:hint="eastAsia"/>
          <w:b w:val="0"/>
          <w:bCs w:val="0"/>
          <w:color w:val="000000"/>
          <w:kern w:val="0"/>
          <w:sz w:val="32"/>
          <w:szCs w:val="32"/>
          <w:highlight w:val="none"/>
          <w:shd w:val="clear" w:color="auto" w:fill="FFFFFF"/>
          <w:lang w:bidi="ar"/>
        </w:rPr>
        <w:t>。</w:t>
      </w:r>
    </w:p>
    <w:p>
      <w:pPr>
        <w:keepNext w:val="0"/>
        <w:keepLines w:val="0"/>
        <w:pageBreakBefore w:val="0"/>
        <w:widowControl/>
        <w:kinsoku/>
        <w:wordWrap/>
        <w:topLinePunct w:val="0"/>
        <w:bidi w:val="0"/>
        <w:adjustRightInd/>
        <w:snapToGrid/>
        <w:spacing w:beforeLines="0" w:afterLines="0" w:line="600" w:lineRule="exact"/>
        <w:ind w:firstLine="420" w:firstLineChars="200"/>
        <w:jc w:val="left"/>
        <w:textAlignment w:val="auto"/>
        <w:rPr>
          <w:rFonts w:ascii="仿宋_GB2312" w:eastAsia="仿宋_GB2312" w:hAnsi="仿宋_GB2312" w:cs="仿宋_GB2312" w:hint="eastAsia"/>
          <w:b w:val="0"/>
          <w:bCs w:val="0"/>
          <w:color w:val="000000"/>
          <w:kern w:val="0"/>
          <w:sz w:val="32"/>
          <w:szCs w:val="32"/>
          <w:highlight w:val="none"/>
          <w:shd w:val="clear" w:color="auto" w:fill="FFFFFF"/>
          <w:lang w:eastAsia="zh-CN" w:bidi="ar"/>
        </w:rPr>
      </w:pPr>
      <w:r>
        <w:rPr>
          <w:rFonts w:ascii="仿宋_GB2312" w:eastAsia="仿宋_GB2312" w:hAnsi="仿宋_GB2312" w:cs="仿宋_GB2312" w:hint="eastAsia"/>
          <w:b w:val="0"/>
          <w:bCs w:val="0"/>
          <w:color w:val="000000"/>
          <w:kern w:val="0"/>
          <w:sz w:val="32"/>
          <w:szCs w:val="32"/>
          <w:highlight w:val="none"/>
          <w:shd w:val="clear" w:color="auto" w:fill="FFFFFF"/>
          <w:lang w:val="en-US" w:eastAsia="zh-CN" w:bidi="ar"/>
        </w:rPr>
        <w:t>3.厦门市工业和信息化局每年结合实际发布</w:t>
      </w:r>
      <w:r>
        <w:rPr>
          <w:rFonts w:ascii="仿宋_GB2312" w:eastAsia="仿宋_GB2312" w:hAnsi="仿宋_GB2312" w:cs="仿宋_GB2312" w:hint="eastAsia"/>
          <w:b w:val="0"/>
          <w:bCs w:val="0"/>
          <w:color w:val="000000"/>
          <w:kern w:val="0"/>
          <w:sz w:val="32"/>
          <w:szCs w:val="32"/>
          <w:highlight w:val="none"/>
          <w:shd w:val="clear" w:color="auto" w:fill="FFFFFF"/>
          <w:lang w:eastAsia="zh-CN" w:bidi="ar"/>
        </w:rPr>
        <w:t>申报指南和</w:t>
      </w:r>
      <w:r>
        <w:rPr>
          <w:rFonts w:ascii="仿宋_GB2312" w:eastAsia="仿宋_GB2312" w:hAnsi="仿宋_GB2312" w:cs="仿宋_GB2312" w:hint="eastAsia"/>
          <w:b w:val="0"/>
          <w:bCs w:val="0"/>
          <w:color w:val="000000"/>
          <w:kern w:val="0"/>
          <w:sz w:val="32"/>
          <w:szCs w:val="32"/>
          <w:highlight w:val="none"/>
          <w:shd w:val="clear" w:color="auto" w:fill="FFFFFF"/>
          <w:lang w:bidi="ar"/>
        </w:rPr>
        <w:t>申报通知</w:t>
      </w:r>
      <w:r>
        <w:rPr>
          <w:rFonts w:ascii="仿宋_GB2312" w:eastAsia="仿宋_GB2312" w:hAnsi="仿宋_GB2312" w:cs="仿宋_GB2312" w:hint="eastAsia"/>
          <w:b w:val="0"/>
          <w:bCs w:val="0"/>
          <w:color w:val="000000"/>
          <w:kern w:val="0"/>
          <w:sz w:val="32"/>
          <w:szCs w:val="32"/>
          <w:highlight w:val="none"/>
          <w:shd w:val="clear" w:color="auto" w:fill="FFFFFF"/>
          <w:lang w:eastAsia="zh-CN" w:bidi="ar"/>
        </w:rPr>
        <w:t>，组织申报并兑现上一年度符合条件的项目资金。</w:t>
      </w:r>
    </w:p>
    <w:p>
      <w:pPr>
        <w:pageBreakBefore w:val="0"/>
        <w:widowControl/>
        <w:kinsoku/>
        <w:wordWrap/>
        <w:overflowPunct/>
        <w:topLinePunct w:val="0"/>
        <w:autoSpaceDE/>
        <w:autoSpaceDN/>
        <w:bidi w:val="0"/>
        <w:adjustRightInd/>
        <w:spacing w:beforeLines="0" w:afterLines="0" w:line="600" w:lineRule="exact"/>
        <w:ind w:firstLine="420" w:firstLineChars="200"/>
        <w:textAlignment w:val="auto"/>
        <w:rPr>
          <w:rFonts w:ascii="仿宋_GB2312" w:eastAsia="仿宋_GB2312" w:hAnsi="仿宋_GB2312" w:cs="仿宋_GB2312" w:hint="eastAsia"/>
          <w:color w:val="000000"/>
          <w:kern w:val="0"/>
          <w:sz w:val="32"/>
          <w:szCs w:val="32"/>
          <w:highlight w:val="none"/>
          <w:shd w:val="clear" w:color="auto" w:fill="FFFFFF"/>
          <w:lang w:val="en-US" w:eastAsia="zh-CN" w:bidi="ar"/>
        </w:rPr>
      </w:pPr>
      <w:r>
        <w:rPr>
          <w:rFonts w:ascii="仿宋_GB2312" w:eastAsia="仿宋_GB2312" w:hAnsi="仿宋_GB2312" w:cs="仿宋_GB2312" w:hint="eastAsia"/>
          <w:b w:val="0"/>
          <w:bCs w:val="0"/>
          <w:color w:val="000000"/>
          <w:kern w:val="0"/>
          <w:sz w:val="32"/>
          <w:szCs w:val="32"/>
          <w:highlight w:val="none"/>
          <w:shd w:val="clear" w:color="auto" w:fill="FFFFFF"/>
          <w:lang w:val="en-US" w:eastAsia="zh-CN" w:bidi="ar"/>
        </w:rPr>
        <w:t>4.本措施</w:t>
      </w:r>
      <w:r>
        <w:rPr>
          <w:rFonts w:ascii="仿宋_GB2312" w:eastAsia="仿宋_GB2312" w:hAnsi="仿宋_GB2312" w:cs="仿宋_GB2312" w:hint="eastAsia"/>
          <w:color w:val="000000"/>
          <w:kern w:val="0"/>
          <w:sz w:val="32"/>
          <w:szCs w:val="32"/>
          <w:highlight w:val="none"/>
          <w:shd w:val="clear" w:color="auto" w:fill="FFFFFF"/>
          <w:lang w:val="en-US" w:eastAsia="zh-CN" w:bidi="ar"/>
        </w:rPr>
        <w:t>兑现资金总额原则上不突破当年度资金预算，预算资金不足时，补助资金按同比例压缩。</w:t>
      </w:r>
    </w:p>
    <w:p>
      <w:pPr>
        <w:widowControl/>
        <w:spacing w:beforeLines="0" w:afterLines="0" w:line="600" w:lineRule="exact"/>
        <w:ind w:firstLine="420" w:firstLineChars="200"/>
        <w:rPr>
          <w:rFonts w:ascii="仿宋_GB2312" w:eastAsia="仿宋_GB2312" w:hAnsi="宋体" w:cs="宋体" w:hint="eastAsia"/>
          <w:b w:val="0"/>
          <w:bCs w:val="0"/>
          <w:color w:val="000000"/>
          <w:sz w:val="32"/>
          <w:szCs w:val="32"/>
          <w:lang w:eastAsia="zh-CN"/>
        </w:rPr>
      </w:pPr>
      <w:r>
        <w:rPr>
          <w:rFonts w:ascii="仿宋_GB2312" w:eastAsia="仿宋_GB2312" w:hAnsi="仿宋_GB2312" w:cs="仿宋_GB2312" w:hint="eastAsia"/>
          <w:b w:val="0"/>
          <w:bCs w:val="0"/>
          <w:color w:val="000000"/>
          <w:kern w:val="0"/>
          <w:sz w:val="32"/>
          <w:szCs w:val="32"/>
          <w:highlight w:val="none"/>
          <w:shd w:val="clear" w:color="auto" w:fill="FFFFFF"/>
          <w:lang w:val="en-US" w:eastAsia="zh-CN" w:bidi="ar"/>
        </w:rPr>
        <w:t>5</w:t>
      </w:r>
      <w:r>
        <w:rPr>
          <w:rFonts w:ascii="仿宋_GB2312" w:eastAsia="仿宋_GB2312" w:hAnsi="仿宋_GB2312" w:cs="仿宋_GB2312" w:hint="eastAsia"/>
          <w:b w:val="0"/>
          <w:bCs w:val="0"/>
          <w:color w:val="000000"/>
          <w:kern w:val="0"/>
          <w:sz w:val="32"/>
          <w:szCs w:val="32"/>
          <w:highlight w:val="none"/>
          <w:shd w:val="clear" w:color="auto" w:fill="FFFFFF"/>
          <w:lang w:bidi="ar"/>
        </w:rPr>
        <w:t>.本</w:t>
      </w:r>
      <w:r>
        <w:rPr>
          <w:rFonts w:ascii="仿宋_GB2312" w:eastAsia="仿宋_GB2312" w:hAnsi="仿宋_GB2312" w:cs="仿宋_GB2312" w:hint="eastAsia"/>
          <w:b w:val="0"/>
          <w:bCs w:val="0"/>
          <w:color w:val="000000"/>
          <w:kern w:val="0"/>
          <w:sz w:val="32"/>
          <w:szCs w:val="32"/>
          <w:highlight w:val="none"/>
          <w:shd w:val="clear" w:color="auto" w:fill="FFFFFF"/>
          <w:lang w:eastAsia="zh-CN" w:bidi="ar"/>
        </w:rPr>
        <w:t>措施</w:t>
      </w:r>
      <w:r>
        <w:rPr>
          <w:rFonts w:ascii="仿宋_GB2312" w:eastAsia="仿宋_GB2312" w:hAnsi="仿宋_GB2312" w:cs="仿宋_GB2312" w:hint="eastAsia"/>
          <w:b w:val="0"/>
          <w:bCs w:val="0"/>
          <w:color w:val="000000"/>
          <w:kern w:val="0"/>
          <w:sz w:val="32"/>
          <w:szCs w:val="32"/>
          <w:highlight w:val="none"/>
          <w:shd w:val="clear" w:color="auto" w:fill="FFFFFF"/>
          <w:lang w:bidi="ar"/>
        </w:rPr>
        <w:t>由</w:t>
      </w:r>
      <w:r>
        <w:rPr>
          <w:rFonts w:ascii="仿宋_GB2312" w:eastAsia="仿宋_GB2312" w:hAnsi="仿宋_GB2312" w:cs="仿宋_GB2312" w:hint="eastAsia"/>
          <w:b w:val="0"/>
          <w:bCs w:val="0"/>
          <w:color w:val="000000"/>
          <w:kern w:val="0"/>
          <w:sz w:val="32"/>
          <w:szCs w:val="32"/>
          <w:highlight w:val="none"/>
          <w:shd w:val="clear" w:color="auto" w:fill="FFFFFF"/>
          <w:lang w:eastAsia="zh-CN" w:bidi="ar"/>
        </w:rPr>
        <w:t>厦门市工业和信息化局</w:t>
      </w:r>
      <w:r>
        <w:rPr>
          <w:rFonts w:ascii="仿宋_GB2312" w:eastAsia="仿宋_GB2312" w:hAnsi="仿宋_GB2312" w:cs="仿宋_GB2312" w:hint="eastAsia"/>
          <w:b w:val="0"/>
          <w:bCs w:val="0"/>
          <w:color w:val="000000"/>
          <w:kern w:val="0"/>
          <w:sz w:val="32"/>
          <w:szCs w:val="32"/>
          <w:highlight w:val="none"/>
          <w:shd w:val="clear" w:color="auto" w:fill="FFFFFF"/>
          <w:lang w:val="en-US" w:eastAsia="zh-CN" w:bidi="ar"/>
        </w:rPr>
        <w:t>负责解释，自发布之日起30日后</w:t>
      </w:r>
      <w:r>
        <w:rPr>
          <w:rFonts w:ascii="仿宋_GB2312" w:eastAsia="仿宋_GB2312" w:hAnsi="仿宋_GB2312" w:cs="仿宋_GB2312" w:hint="eastAsia"/>
          <w:b w:val="0"/>
          <w:bCs w:val="0"/>
          <w:color w:val="000000"/>
          <w:kern w:val="0"/>
          <w:sz w:val="32"/>
          <w:szCs w:val="32"/>
          <w:highlight w:val="none"/>
          <w:shd w:val="clear" w:color="auto" w:fill="FFFFFF"/>
          <w:lang w:eastAsia="zh-CN" w:bidi="ar"/>
        </w:rPr>
        <w:t>实施，有</w:t>
      </w:r>
      <w:r>
        <w:rPr>
          <w:rFonts w:ascii="仿宋_GB2312" w:eastAsia="仿宋_GB2312" w:hAnsi="仿宋_GB2312" w:cs="仿宋_GB2312" w:hint="eastAsia"/>
          <w:b w:val="0"/>
          <w:bCs w:val="0"/>
          <w:color w:val="000000"/>
          <w:kern w:val="0"/>
          <w:sz w:val="32"/>
          <w:szCs w:val="32"/>
          <w:highlight w:val="none"/>
          <w:shd w:val="clear" w:color="auto" w:fill="FFFFFF"/>
          <w:lang w:bidi="ar"/>
        </w:rPr>
        <w:t>效</w:t>
      </w:r>
      <w:r>
        <w:rPr>
          <w:rFonts w:ascii="仿宋_GB2312" w:eastAsia="仿宋_GB2312" w:hAnsi="仿宋_GB2312" w:cs="仿宋_GB2312" w:hint="eastAsia"/>
          <w:b w:val="0"/>
          <w:bCs w:val="0"/>
          <w:color w:val="000000"/>
          <w:kern w:val="0"/>
          <w:sz w:val="32"/>
          <w:szCs w:val="32"/>
          <w:highlight w:val="none"/>
          <w:shd w:val="clear" w:color="auto" w:fill="FFFFFF"/>
          <w:lang w:val="en-US" w:eastAsia="zh-CN" w:bidi="ar"/>
        </w:rPr>
        <w:t>5年</w:t>
      </w:r>
      <w:r>
        <w:rPr>
          <w:rFonts w:ascii="仿宋_GB2312" w:eastAsia="仿宋_GB2312" w:hAnsi="宋体" w:cs="宋体" w:hint="eastAsia"/>
          <w:b w:val="0"/>
          <w:bCs w:val="0"/>
          <w:color w:val="000000"/>
          <w:sz w:val="32"/>
          <w:szCs w:val="32"/>
          <w:lang w:eastAsia="zh-CN"/>
        </w:rPr>
        <w:t>。</w:t>
      </w:r>
    </w:p>
    <w:p>
      <w:pPr>
        <w:pStyle w:val="BodyText"/>
        <w:spacing w:beforeLines="0" w:afterLines="0" w:line="600" w:lineRule="exact"/>
        <w:rPr>
          <w:rFonts w:hint="eastAsia"/>
          <w:highlight w:val="none"/>
          <w:lang w:val="en-US" w:eastAsia="zh-CN"/>
        </w:rPr>
      </w:pPr>
    </w:p>
    <w:sectPr>
      <w:pgSz w:w="11906" w:h="16838"/>
      <w:pgMar w:top="1440" w:right="1531" w:bottom="1440" w:left="1531" w:header="851" w:footer="992" w:gutter="0"/>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3MWIyMmQ1YTJiNzJkNDNmZTQ5ZDk5MzBhOWIxMD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Normal"/>
    <w:uiPriority w:val="99"/>
    <w:unhideWhenUsed/>
    <w:qFormat/>
    <w:rPr>
      <w:rFonts w:eastAsia="方正仿宋简体"/>
      <w:sz w:val="32"/>
    </w:r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paragraph" w:customStyle="1" w:styleId="1New">
    <w:name w:val="标题 1 New"/>
    <w:basedOn w:val="Normal"/>
    <w:next w:val="Normal"/>
    <w:qFormat/>
    <w:pPr>
      <w:keepNext/>
      <w:keepLines/>
      <w:spacing w:before="340" w:beforeLines="0" w:beforeAutospacing="0" w:after="330" w:afterLines="0" w:afterAutospacing="0" w:line="576" w:lineRule="auto"/>
      <w:outlineLvl w:val="0"/>
    </w:pPr>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613</Characters>
  <Application>Microsoft Office Word</Application>
  <DocSecurity>0</DocSecurity>
  <Lines>0</Lines>
  <Paragraphs>0</Paragraphs>
  <ScaleCrop>false</ScaleCrop>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李旺生</dc:creator>
  <cp:lastModifiedBy>李旺生</cp:lastModifiedBy>
  <cp:revision>1</cp:revision>
  <cp:lastPrinted>2023-06-02T17:22:00Z</cp:lastPrinted>
  <dcterms:created xsi:type="dcterms:W3CDTF">2023-03-01T08:37:00Z</dcterms:created>
  <dcterms:modified xsi:type="dcterms:W3CDTF">2023-06-19T07:23:33Z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DD3C8C75F13747A79384506566BE9781_13</vt:lpwstr>
  </property>
  <property fmtid="{D5CDD505-2E9C-101B-9397-08002B2CF9AE}" pid="3" name="KSOProductBuildVer">
    <vt:lpwstr>2052-11.8.2.10229</vt:lpwstr>
  </property>
</Properties>
</file>