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BC772">
      <w:pPr>
        <w:pStyle w:val="17"/>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lang w:val="en-US" w:eastAsia="zh-CN"/>
        </w:rPr>
      </w:pPr>
      <w:r>
        <w:rPr>
          <w:rFonts w:hint="eastAsia" w:cs="方正小标宋简体"/>
          <w:b w:val="0"/>
          <w:bCs w:val="0"/>
          <w:lang w:eastAsia="zh-CN"/>
        </w:rPr>
        <w:t>《</w:t>
      </w:r>
      <w:r>
        <w:rPr>
          <w:rFonts w:hint="eastAsia" w:ascii="方正小标宋简体" w:hAnsi="方正小标宋简体" w:eastAsia="方正小标宋简体" w:cs="方正小标宋简体"/>
          <w:b w:val="0"/>
          <w:bCs w:val="0"/>
          <w:lang w:eastAsia="zh-CN"/>
        </w:rPr>
        <w:t>厦门市工业和信息化局关于修订</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w:t>
      </w:r>
      <w:r>
        <w:rPr>
          <w:rFonts w:hint="eastAsia" w:ascii="方正小标宋简体" w:hAnsi="方正小标宋简体" w:eastAsia="方正小标宋简体" w:cs="方正小标宋简体"/>
          <w:b w:val="0"/>
          <w:bCs w:val="0"/>
          <w:lang w:eastAsia="zh-CN"/>
        </w:rPr>
        <w:t>厦门市中小企业数字化转型试点城市数字化服务商服务能力评价指引（试行）</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w:t>
      </w:r>
      <w:r>
        <w:rPr>
          <w:rFonts w:hint="eastAsia" w:ascii="方正小标宋简体" w:hAnsi="方正小标宋简体" w:eastAsia="方正小标宋简体" w:cs="方正小标宋简体"/>
          <w:b w:val="0"/>
          <w:bCs w:val="0"/>
          <w:lang w:eastAsia="zh-CN"/>
        </w:rPr>
        <w:t>部分条款的通知</w:t>
      </w:r>
      <w:r>
        <w:rPr>
          <w:rFonts w:hint="eastAsia" w:cs="方正小标宋简体"/>
          <w:b w:val="0"/>
          <w:bCs w:val="0"/>
          <w:lang w:eastAsia="zh-CN"/>
        </w:rPr>
        <w:t>（</w:t>
      </w:r>
      <w:r>
        <w:rPr>
          <w:rFonts w:hint="eastAsia" w:cs="方正小标宋简体"/>
          <w:b w:val="0"/>
          <w:bCs w:val="0"/>
          <w:lang w:val="en-US" w:eastAsia="zh-CN"/>
        </w:rPr>
        <w:t>征求意见稿</w:t>
      </w:r>
      <w:r>
        <w:rPr>
          <w:rFonts w:hint="eastAsia" w:cs="方正小标宋简体"/>
          <w:b w:val="0"/>
          <w:bCs w:val="0"/>
          <w:lang w:eastAsia="zh-CN"/>
        </w:rPr>
        <w:t>）》</w:t>
      </w:r>
      <w:r>
        <w:rPr>
          <w:rFonts w:hint="eastAsia" w:cs="方正小标宋简体"/>
          <w:b w:val="0"/>
          <w:bCs w:val="0"/>
          <w:lang w:val="en-US" w:eastAsia="zh-CN"/>
        </w:rPr>
        <w:t>草案</w:t>
      </w:r>
      <w:bookmarkStart w:id="0" w:name="_GoBack"/>
      <w:bookmarkEnd w:id="0"/>
      <w:r>
        <w:rPr>
          <w:rFonts w:hint="eastAsia" w:ascii="方正小标宋简体" w:hAnsi="方正小标宋简体" w:eastAsia="方正小标宋简体" w:cs="方正小标宋简体"/>
          <w:b w:val="0"/>
          <w:bCs w:val="0"/>
          <w:lang w:val="en-US" w:eastAsia="zh-CN"/>
        </w:rPr>
        <w:t>解读</w:t>
      </w:r>
    </w:p>
    <w:p w14:paraId="4D657087">
      <w:pPr>
        <w:pageBreakBefore w:val="0"/>
        <w:kinsoku/>
        <w:wordWrap/>
        <w:overflowPunct/>
        <w:topLinePunct w:val="0"/>
        <w:autoSpaceDE/>
        <w:autoSpaceDN/>
        <w:bidi w:val="0"/>
        <w:snapToGrid/>
        <w:spacing w:line="560" w:lineRule="exact"/>
        <w:textAlignment w:val="auto"/>
        <w:rPr>
          <w:rFonts w:hint="eastAsia"/>
          <w:lang w:val="en-US" w:eastAsia="zh-CN"/>
        </w:rPr>
      </w:pPr>
    </w:p>
    <w:p w14:paraId="077AFA71">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修订背景</w:t>
      </w:r>
    </w:p>
    <w:p w14:paraId="54E2A14E">
      <w:pPr>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ascii="仿宋_GB2312" w:hAnsi="仿宋_GB2312" w:eastAsia="仿宋_GB2312" w:cs="仿宋_GB2312"/>
          <w:color w:val="000000"/>
          <w:sz w:val="32"/>
          <w:szCs w:val="32"/>
        </w:rPr>
        <w:t>为持续优化厦门市中小企业数字化转型服务生态，培育和壮大优质数字化服务商队伍，提升服务商服务质量和专业水平，</w:t>
      </w:r>
      <w:r>
        <w:rPr>
          <w:rFonts w:hint="eastAsia" w:cs="仿宋_GB2312"/>
          <w:color w:val="000000"/>
          <w:sz w:val="32"/>
          <w:szCs w:val="32"/>
          <w:lang w:val="en-US" w:eastAsia="zh-CN"/>
        </w:rPr>
        <w:t>现</w:t>
      </w:r>
      <w:r>
        <w:rPr>
          <w:rFonts w:hint="eastAsia" w:ascii="仿宋_GB2312" w:hAnsi="仿宋_GB2312" w:eastAsia="仿宋_GB2312" w:cs="仿宋_GB2312"/>
          <w:color w:val="000000"/>
          <w:sz w:val="32"/>
          <w:szCs w:val="32"/>
        </w:rPr>
        <w:t>对《厦门市中小企业数字化转型试点城市数字化服务商服务能力评价指引（试行）》的部分条款</w:t>
      </w:r>
      <w:r>
        <w:rPr>
          <w:rFonts w:hint="default"/>
          <w:lang w:val="en-US" w:eastAsia="zh-CN"/>
        </w:rPr>
        <w:t>予以</w:t>
      </w:r>
      <w:r>
        <w:rPr>
          <w:rFonts w:hint="eastAsia" w:cs="仿宋_GB2312"/>
          <w:color w:val="000000"/>
          <w:sz w:val="32"/>
          <w:szCs w:val="32"/>
          <w:lang w:val="en-US" w:eastAsia="zh-CN"/>
        </w:rPr>
        <w:t>修改</w:t>
      </w:r>
      <w:r>
        <w:rPr>
          <w:rFonts w:hint="eastAsia" w:ascii="仿宋_GB2312" w:hAnsi="仿宋_GB2312" w:eastAsia="仿宋_GB2312" w:cs="仿宋_GB2312"/>
          <w:color w:val="000000"/>
          <w:sz w:val="32"/>
          <w:szCs w:val="32"/>
        </w:rPr>
        <w:t>。</w:t>
      </w:r>
    </w:p>
    <w:p w14:paraId="6D2C5617">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修改依据</w:t>
      </w:r>
    </w:p>
    <w:p w14:paraId="60DD4DCD">
      <w:pPr>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ascii="仿宋_GB2312" w:hAnsi="仿宋_GB2312" w:eastAsia="仿宋_GB2312" w:cs="仿宋_GB2312"/>
          <w:color w:val="000000"/>
          <w:sz w:val="32"/>
          <w:szCs w:val="32"/>
        </w:rPr>
        <w:t>《厦门市工业和信息化局关于印发〈厦门市中小企业数字化转型试点城市数字化服务商服务能力评价指引（试行）〉的通知》（厦工信规〔2025〕1 号）</w:t>
      </w:r>
    </w:p>
    <w:p w14:paraId="3AF1CD0B">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修改内容</w:t>
      </w:r>
    </w:p>
    <w:p w14:paraId="2929F1A1">
      <w:pPr>
        <w:pStyle w:val="3"/>
        <w:pageBreakBefore w:val="0"/>
        <w:kinsoku/>
        <w:wordWrap/>
        <w:overflowPunct/>
        <w:topLinePunct w:val="0"/>
        <w:autoSpaceDE/>
        <w:autoSpaceDN/>
        <w:bidi w:val="0"/>
        <w:snapToGrid/>
        <w:spacing w:line="560" w:lineRule="exact"/>
        <w:textAlignment w:val="auto"/>
        <w:rPr>
          <w:rFonts w:hint="eastAsia"/>
          <w:b/>
          <w:bCs/>
          <w:lang w:val="en-US" w:eastAsia="zh-CN"/>
        </w:rPr>
      </w:pPr>
      <w:r>
        <w:rPr>
          <w:rFonts w:hint="eastAsia"/>
          <w:b/>
          <w:bCs/>
          <w:lang w:val="en-US" w:eastAsia="zh-CN"/>
        </w:rPr>
        <w:t>原政策条款</w:t>
      </w:r>
    </w:p>
    <w:p w14:paraId="7D337641">
      <w:pPr>
        <w:overflowPunct w:val="0"/>
        <w:autoSpaceDE w:val="0"/>
        <w:autoSpaceDN w:val="0"/>
        <w:adjustRightInd w:val="0"/>
        <w:snapToGrid w:val="0"/>
        <w:spacing w:line="560" w:lineRule="exact"/>
        <w:ind w:firstLine="640" w:firstLineChars="200"/>
        <w:jc w:val="left"/>
        <w:rPr>
          <w:rFonts w:hint="eastAsia" w:ascii="仿宋_GB2312" w:hAnsi="黑体" w:eastAsia="仿宋_GB2312"/>
          <w:sz w:val="32"/>
          <w:szCs w:val="32"/>
        </w:rPr>
      </w:pPr>
      <w:r>
        <w:rPr>
          <w:rStyle w:val="19"/>
          <w:rFonts w:hint="eastAsia" w:ascii="黑体" w:hAnsi="黑体" w:eastAsia="黑体" w:cs="黑体"/>
          <w:b w:val="0"/>
          <w:bCs w:val="0"/>
          <w:kern w:val="0"/>
        </w:rPr>
        <w:t>第十一条 警告并限期整改。</w:t>
      </w:r>
      <w:r>
        <w:rPr>
          <w:rFonts w:ascii="仿宋_GB2312" w:hAnsi="黑体" w:eastAsia="仿宋_GB2312"/>
          <w:sz w:val="32"/>
          <w:szCs w:val="32"/>
        </w:rPr>
        <w:t>服务商出现以下情况之一，将予以警告</w:t>
      </w:r>
      <w:r>
        <w:rPr>
          <w:rFonts w:hint="eastAsia" w:ascii="仿宋_GB2312" w:hAnsi="黑体" w:eastAsia="仿宋_GB2312"/>
          <w:sz w:val="32"/>
          <w:szCs w:val="32"/>
        </w:rPr>
        <w:t>，暂停签约立项并</w:t>
      </w:r>
      <w:r>
        <w:rPr>
          <w:rFonts w:ascii="仿宋_GB2312" w:hAnsi="黑体" w:eastAsia="仿宋_GB2312"/>
          <w:sz w:val="32"/>
          <w:szCs w:val="32"/>
        </w:rPr>
        <w:t>限期</w:t>
      </w:r>
      <w:r>
        <w:rPr>
          <w:rFonts w:hint="eastAsia" w:ascii="仿宋_GB2312" w:hAnsi="黑体" w:eastAsia="仿宋_GB2312"/>
          <w:sz w:val="32"/>
          <w:szCs w:val="32"/>
        </w:rPr>
        <w:t>1个月内完成</w:t>
      </w:r>
      <w:r>
        <w:rPr>
          <w:rFonts w:ascii="仿宋_GB2312" w:hAnsi="黑体" w:eastAsia="仿宋_GB2312"/>
          <w:sz w:val="32"/>
          <w:szCs w:val="32"/>
        </w:rPr>
        <w:t>整改</w:t>
      </w:r>
      <w:r>
        <w:rPr>
          <w:rFonts w:hint="eastAsia" w:ascii="仿宋_GB2312" w:hAnsi="黑体" w:eastAsia="仿宋_GB2312"/>
          <w:sz w:val="32"/>
          <w:szCs w:val="32"/>
        </w:rPr>
        <w:t>。整改后按流程再次评价，评价通过后视为完成整改并恢复签约：</w:t>
      </w:r>
    </w:p>
    <w:p w14:paraId="234DD49B">
      <w:pPr>
        <w:overflowPunct w:val="0"/>
        <w:autoSpaceDE w:val="0"/>
        <w:autoSpaceDN w:val="0"/>
        <w:adjustRightInd w:val="0"/>
        <w:snapToGrid w:val="0"/>
        <w:spacing w:line="560" w:lineRule="exact"/>
        <w:ind w:firstLine="640" w:firstLineChars="200"/>
        <w:jc w:val="left"/>
        <w:rPr>
          <w:rFonts w:hint="eastAsia" w:ascii="仿宋_GB2312" w:hAnsi="黑体" w:eastAsia="仿宋_GB2312"/>
          <w:sz w:val="32"/>
          <w:szCs w:val="32"/>
        </w:rPr>
      </w:pPr>
      <w:r>
        <w:rPr>
          <w:rFonts w:hint="eastAsia" w:ascii="仿宋_GB2312" w:hAnsi="仿宋_GB2312" w:eastAsia="仿宋_GB2312" w:cs="仿宋_GB2312"/>
          <w:color w:val="000000"/>
          <w:kern w:val="0"/>
          <w:sz w:val="32"/>
          <w:szCs w:val="32"/>
          <w:lang w:bidi="ar"/>
        </w:rPr>
        <w:t>（一）未对企业提供诊断服务，未及时出具诊断报告；合同中服务项目</w:t>
      </w:r>
      <w:r>
        <w:rPr>
          <w:rFonts w:ascii="仿宋_GB2312" w:hAnsi="黑体" w:eastAsia="仿宋_GB2312"/>
          <w:sz w:val="32"/>
          <w:szCs w:val="32"/>
        </w:rPr>
        <w:t>不完整</w:t>
      </w:r>
      <w:r>
        <w:rPr>
          <w:rFonts w:hint="eastAsia" w:ascii="仿宋_GB2312" w:hAnsi="黑体" w:eastAsia="仿宋_GB2312"/>
          <w:sz w:val="32"/>
          <w:szCs w:val="32"/>
        </w:rPr>
        <w:t>、服务</w:t>
      </w:r>
      <w:r>
        <w:rPr>
          <w:rFonts w:ascii="仿宋_GB2312" w:hAnsi="黑体" w:eastAsia="仿宋_GB2312"/>
          <w:sz w:val="32"/>
          <w:szCs w:val="32"/>
        </w:rPr>
        <w:t>费用</w:t>
      </w:r>
      <w:r>
        <w:rPr>
          <w:rFonts w:hint="eastAsia" w:ascii="仿宋_GB2312" w:hAnsi="黑体" w:eastAsia="仿宋_GB2312"/>
          <w:sz w:val="32"/>
          <w:szCs w:val="32"/>
        </w:rPr>
        <w:t>虚高、保障措施不到位等情况。</w:t>
      </w:r>
    </w:p>
    <w:p w14:paraId="44666B6C">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（二）服务人员能力不足、配置不合理、</w:t>
      </w:r>
      <w:r>
        <w:rPr>
          <w:rFonts w:hint="eastAsia" w:ascii="仿宋_GB2312" w:hAnsi="仿宋_GB2312" w:eastAsia="仿宋_GB2312" w:cs="仿宋_GB2312"/>
          <w:color w:val="000000"/>
          <w:sz w:val="32"/>
          <w:szCs w:val="32"/>
        </w:rPr>
        <w:t>进驻企业不及时等情况；资料报送不完整、不规范、不及时等其他不配合试点工作行为。</w:t>
      </w:r>
    </w:p>
    <w:p w14:paraId="647F0638">
      <w:p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（三）实际服务内容与合同约定不符，所提供解决方案未实际投入使用，并配合企业发起验收申请。</w:t>
      </w:r>
    </w:p>
    <w:p w14:paraId="4506BCEE">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（四）其他未按工作要求、合同要求服务企业等情况。</w:t>
      </w:r>
    </w:p>
    <w:p w14:paraId="1E8956E2">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Style w:val="19"/>
          <w:rFonts w:hint="eastAsia" w:ascii="黑体" w:hAnsi="黑体" w:eastAsia="黑体" w:cs="黑体"/>
          <w:b w:val="0"/>
          <w:bCs w:val="0"/>
          <w:kern w:val="0"/>
          <w:sz w:val="32"/>
          <w:szCs w:val="32"/>
          <w:lang w:val="en-US" w:eastAsia="zh-CN" w:bidi="ar-SA"/>
        </w:rPr>
        <w:t>第十二条 取消资格并通报。</w:t>
      </w:r>
      <w:r>
        <w:rPr>
          <w:rFonts w:ascii="仿宋_GB2312" w:hAnsi="黑体" w:eastAsia="仿宋_GB2312"/>
          <w:kern w:val="2"/>
          <w:sz w:val="32"/>
          <w:szCs w:val="32"/>
        </w:rPr>
        <w:t>服务商出现以下情况之一</w:t>
      </w:r>
      <w:r>
        <w:rPr>
          <w:rFonts w:hint="eastAsia" w:ascii="仿宋_GB2312" w:hAnsi="黑体" w:eastAsia="仿宋_GB2312"/>
          <w:kern w:val="2"/>
          <w:sz w:val="32"/>
          <w:szCs w:val="32"/>
        </w:rPr>
        <w:t>，</w:t>
      </w:r>
      <w:r>
        <w:rPr>
          <w:rFonts w:hint="eastAsia" w:ascii="仿宋_GB2312" w:hAnsi="仿宋_GB2312" w:eastAsia="仿宋_GB2312" w:cs="仿宋_GB2312"/>
          <w:color w:val="000000"/>
          <w:sz w:val="32"/>
          <w:szCs w:val="32"/>
          <w:lang w:bidi="ar"/>
        </w:rPr>
        <w:t>将取消其关于厦门市中小企业数字化转型试点城市服务试点工作资格并进行通报：</w:t>
      </w:r>
    </w:p>
    <w:p w14:paraId="4CF7B4D5">
      <w:pPr>
        <w:pStyle w:val="13"/>
        <w:widowControl w:val="0"/>
        <w:numPr>
          <w:ilvl w:val="0"/>
          <w:numId w:val="2"/>
        </w:numPr>
        <w:overflowPunct w:val="0"/>
        <w:autoSpaceDE w:val="0"/>
        <w:autoSpaceDN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限期整改后，</w:t>
      </w:r>
      <w:r>
        <w:rPr>
          <w:rFonts w:hint="eastAsia" w:ascii="仿宋_GB2312" w:hAnsi="仿宋_GB2312" w:eastAsia="仿宋_GB2312" w:cs="仿宋_GB2312"/>
          <w:color w:val="000000"/>
          <w:sz w:val="32"/>
          <w:szCs w:val="32"/>
          <w:lang w:bidi="ar"/>
        </w:rPr>
        <w:t>相关问题仍未解决或评价仍不通过。</w:t>
      </w:r>
    </w:p>
    <w:p w14:paraId="355A943D">
      <w:pPr>
        <w:numPr>
          <w:ilvl w:val="0"/>
          <w:numId w:val="2"/>
        </w:num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rPr>
        <w:t>提供虚假信息、</w:t>
      </w:r>
      <w:r>
        <w:rPr>
          <w:rFonts w:hint="eastAsia" w:ascii="仿宋_GB2312" w:hAnsi="仿宋_GB2312" w:eastAsia="仿宋_GB2312" w:cs="仿宋_GB2312"/>
          <w:color w:val="000000"/>
          <w:kern w:val="0"/>
          <w:sz w:val="32"/>
          <w:szCs w:val="32"/>
          <w:lang w:bidi="ar"/>
        </w:rPr>
        <w:t>存在骗补或采取不正当竞争手段等行为。</w:t>
      </w:r>
    </w:p>
    <w:p w14:paraId="041FF3D7">
      <w:pPr>
        <w:numPr>
          <w:ilvl w:val="0"/>
          <w:numId w:val="2"/>
        </w:num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黑体" w:eastAsia="仿宋_GB2312"/>
          <w:sz w:val="32"/>
          <w:szCs w:val="32"/>
        </w:rPr>
        <w:t>泄露企业商业机密、核心技术、敏感信息，包括但不限于客户数据、产品设计、生产流程等。</w:t>
      </w:r>
    </w:p>
    <w:p w14:paraId="07FF1ACD">
      <w:pPr>
        <w:numPr>
          <w:ilvl w:val="0"/>
          <w:numId w:val="2"/>
        </w:num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入选试点工作数字化服务商后三个月内，未签订数字化改造合同开展相关服务。</w:t>
      </w:r>
    </w:p>
    <w:p w14:paraId="38FC4512">
      <w:pPr>
        <w:numPr>
          <w:ilvl w:val="0"/>
          <w:numId w:val="2"/>
        </w:num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超过30%企业满意度评价为“不满意”。</w:t>
      </w:r>
    </w:p>
    <w:p w14:paraId="32C34987">
      <w:pPr>
        <w:numPr>
          <w:ilvl w:val="0"/>
          <w:numId w:val="2"/>
        </w:num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企业当年度经整改后二级通过率未达到80%。</w:t>
      </w:r>
    </w:p>
    <w:p w14:paraId="63BE8863">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（七）存在其他相关违法违规行为的。</w:t>
      </w:r>
    </w:p>
    <w:p w14:paraId="65F2F7E3">
      <w:pPr>
        <w:pStyle w:val="3"/>
        <w:pageBreakBefore w:val="0"/>
        <w:kinsoku/>
        <w:wordWrap/>
        <w:overflowPunct/>
        <w:topLinePunct w:val="0"/>
        <w:autoSpaceDE/>
        <w:autoSpaceDN/>
        <w:bidi w:val="0"/>
        <w:snapToGrid/>
        <w:spacing w:line="560" w:lineRule="exact"/>
        <w:textAlignment w:val="auto"/>
        <w:rPr>
          <w:rFonts w:hint="eastAsia"/>
          <w:b/>
          <w:bCs/>
          <w:lang w:val="en-US" w:eastAsia="zh-CN"/>
        </w:rPr>
      </w:pPr>
      <w:r>
        <w:rPr>
          <w:rFonts w:hint="eastAsia"/>
          <w:b/>
          <w:bCs/>
          <w:lang w:val="en-US" w:eastAsia="zh-CN"/>
        </w:rPr>
        <w:t>修改后政策条款</w:t>
      </w:r>
    </w:p>
    <w:p w14:paraId="763906CD">
      <w:pPr>
        <w:overflowPunct w:val="0"/>
        <w:autoSpaceDE w:val="0"/>
        <w:autoSpaceDN w:val="0"/>
        <w:adjustRightInd w:val="0"/>
        <w:snapToGrid w:val="0"/>
        <w:spacing w:line="560" w:lineRule="exact"/>
        <w:ind w:firstLine="640" w:firstLineChars="200"/>
        <w:jc w:val="left"/>
        <w:rPr>
          <w:rFonts w:hint="eastAsia" w:ascii="仿宋_GB2312" w:hAnsi="黑体" w:eastAsia="仿宋_GB2312"/>
          <w:sz w:val="32"/>
          <w:szCs w:val="32"/>
        </w:rPr>
      </w:pPr>
      <w:r>
        <w:rPr>
          <w:rStyle w:val="19"/>
          <w:rFonts w:hint="eastAsia" w:ascii="黑体" w:hAnsi="黑体" w:eastAsia="黑体" w:cs="黑体"/>
          <w:b w:val="0"/>
          <w:kern w:val="0"/>
          <w:lang w:val="en-US" w:eastAsia="zh-CN"/>
        </w:rPr>
        <w:t xml:space="preserve">第十一条 </w:t>
      </w:r>
      <w:r>
        <w:rPr>
          <w:rStyle w:val="19"/>
          <w:rFonts w:hint="eastAsia" w:ascii="黑体" w:hAnsi="黑体" w:eastAsia="黑体" w:cs="黑体"/>
          <w:b w:val="0"/>
          <w:kern w:val="0"/>
        </w:rPr>
        <w:t>服务提升机制。</w:t>
      </w:r>
      <w:r>
        <w:rPr>
          <w:rFonts w:hint="eastAsia" w:ascii="仿宋_GB2312" w:hAnsi="黑体" w:eastAsia="仿宋_GB2312"/>
          <w:sz w:val="32"/>
          <w:szCs w:val="32"/>
        </w:rPr>
        <w:t>服务商出现以下任一情形，须在一个月内主动完成改进提升工作。整改后按流程再次评价，评价通过后视为完成改进提升：</w:t>
      </w:r>
    </w:p>
    <w:p w14:paraId="573D3E10">
      <w:pPr>
        <w:overflowPunct w:val="0"/>
        <w:autoSpaceDE w:val="0"/>
        <w:autoSpaceDN w:val="0"/>
        <w:adjustRightInd w:val="0"/>
        <w:snapToGrid w:val="0"/>
        <w:spacing w:line="560" w:lineRule="exact"/>
        <w:ind w:firstLine="640" w:firstLineChars="200"/>
        <w:jc w:val="left"/>
        <w:rPr>
          <w:rFonts w:hint="eastAsia" w:ascii="仿宋_GB2312" w:hAnsi="黑体" w:eastAsia="仿宋_GB2312"/>
          <w:sz w:val="32"/>
          <w:szCs w:val="32"/>
        </w:rPr>
      </w:pPr>
      <w:r>
        <w:rPr>
          <w:rFonts w:hint="eastAsia" w:ascii="仿宋_GB2312" w:hAnsi="仿宋_GB2312" w:eastAsia="仿宋_GB2312" w:cs="仿宋_GB2312"/>
          <w:color w:val="000000"/>
          <w:kern w:val="0"/>
          <w:sz w:val="32"/>
          <w:szCs w:val="32"/>
          <w:lang w:bidi="ar"/>
        </w:rPr>
        <w:t>（一）未对企业提供诊断服务，未及时出具诊断报告；合同中服务项目</w:t>
      </w:r>
      <w:r>
        <w:rPr>
          <w:rFonts w:ascii="仿宋_GB2312" w:hAnsi="黑体" w:eastAsia="仿宋_GB2312"/>
          <w:sz w:val="32"/>
          <w:szCs w:val="32"/>
        </w:rPr>
        <w:t>不完整</w:t>
      </w:r>
      <w:r>
        <w:rPr>
          <w:rFonts w:hint="eastAsia" w:ascii="仿宋_GB2312" w:hAnsi="黑体" w:eastAsia="仿宋_GB2312"/>
          <w:sz w:val="32"/>
          <w:szCs w:val="32"/>
        </w:rPr>
        <w:t>、服务</w:t>
      </w:r>
      <w:r>
        <w:rPr>
          <w:rFonts w:ascii="仿宋_GB2312" w:hAnsi="黑体" w:eastAsia="仿宋_GB2312"/>
          <w:sz w:val="32"/>
          <w:szCs w:val="32"/>
        </w:rPr>
        <w:t>费用</w:t>
      </w:r>
      <w:r>
        <w:rPr>
          <w:rFonts w:hint="eastAsia" w:ascii="仿宋_GB2312" w:hAnsi="黑体" w:eastAsia="仿宋_GB2312"/>
          <w:sz w:val="32"/>
          <w:szCs w:val="32"/>
        </w:rPr>
        <w:t>虚高、保障措施不到位等情况。</w:t>
      </w:r>
    </w:p>
    <w:p w14:paraId="03AF8E86">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（二）服务人员能力不足、配置不合理、</w:t>
      </w:r>
      <w:r>
        <w:rPr>
          <w:rFonts w:hint="eastAsia" w:ascii="仿宋_GB2312" w:hAnsi="仿宋_GB2312" w:eastAsia="仿宋_GB2312" w:cs="仿宋_GB2312"/>
          <w:color w:val="000000"/>
          <w:sz w:val="32"/>
          <w:szCs w:val="32"/>
        </w:rPr>
        <w:t>进驻企业不及时等情况；资料报送不完整、不规范、不及时等其他不配合试点工作行为。</w:t>
      </w:r>
    </w:p>
    <w:p w14:paraId="26CA8E17">
      <w:p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（三）实际服务内容与合同约定不符，所提供解决方案未实际投入使用，并配合企业发起验收申请。</w:t>
      </w:r>
    </w:p>
    <w:p w14:paraId="632DFA69">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ascii="仿宋_GB2312" w:hAnsi="仿宋_GB2312" w:eastAsia="仿宋_GB2312" w:cs="仿宋_GB2312"/>
          <w:color w:val="000000"/>
          <w:sz w:val="32"/>
          <w:szCs w:val="32"/>
          <w:lang w:bidi="ar"/>
        </w:rPr>
        <w:t>（四）其他未按工作要求、合同要求服务企业等情况。</w:t>
      </w:r>
    </w:p>
    <w:p w14:paraId="6F55FE5C">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Style w:val="19"/>
          <w:rFonts w:hint="eastAsia" w:ascii="黑体" w:hAnsi="黑体" w:eastAsia="黑体" w:cs="黑体"/>
          <w:b w:val="0"/>
          <w:sz w:val="32"/>
          <w:szCs w:val="32"/>
          <w:lang w:val="en-US" w:eastAsia="zh-CN"/>
        </w:rPr>
        <w:t xml:space="preserve">第十二条 </w:t>
      </w:r>
      <w:r>
        <w:rPr>
          <w:rStyle w:val="19"/>
          <w:rFonts w:hint="eastAsia" w:ascii="黑体" w:hAnsi="黑体" w:eastAsia="黑体" w:cs="黑体"/>
          <w:b w:val="0"/>
          <w:sz w:val="32"/>
          <w:szCs w:val="32"/>
        </w:rPr>
        <w:t>服务商动态管理。</w:t>
      </w:r>
      <w:r>
        <w:rPr>
          <w:rFonts w:ascii="仿宋_GB2312" w:hAnsi="黑体" w:eastAsia="仿宋_GB2312"/>
          <w:kern w:val="2"/>
          <w:sz w:val="32"/>
          <w:szCs w:val="32"/>
        </w:rPr>
        <w:t>服务商出现以下情况之一</w:t>
      </w:r>
      <w:r>
        <w:rPr>
          <w:rFonts w:hint="eastAsia" w:ascii="仿宋_GB2312" w:hAnsi="黑体" w:eastAsia="仿宋_GB2312"/>
          <w:kern w:val="2"/>
          <w:sz w:val="32"/>
          <w:szCs w:val="32"/>
        </w:rPr>
        <w:t>，将移出</w:t>
      </w:r>
      <w:r>
        <w:rPr>
          <w:rFonts w:hint="eastAsia" w:ascii="仿宋_GB2312" w:hAnsi="仿宋_GB2312" w:eastAsia="仿宋_GB2312" w:cs="仿宋_GB2312"/>
          <w:color w:val="000000"/>
          <w:sz w:val="32"/>
          <w:szCs w:val="32"/>
          <w:lang w:bidi="ar"/>
        </w:rPr>
        <w:t>中小企业数字化转型试点城市数字化服务商名单：</w:t>
      </w:r>
    </w:p>
    <w:p w14:paraId="33771C7E">
      <w:pPr>
        <w:pStyle w:val="13"/>
        <w:widowControl w:val="0"/>
        <w:overflowPunct w:val="0"/>
        <w:autoSpaceDE w:val="0"/>
        <w:autoSpaceDN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（一）改进提升后，</w:t>
      </w:r>
      <w:r>
        <w:rPr>
          <w:rFonts w:hint="eastAsia" w:ascii="仿宋_GB2312" w:hAnsi="仿宋_GB2312" w:eastAsia="仿宋_GB2312" w:cs="仿宋_GB2312"/>
          <w:color w:val="000000"/>
          <w:sz w:val="32"/>
          <w:szCs w:val="32"/>
          <w:lang w:bidi="ar"/>
        </w:rPr>
        <w:t>相关问题仍未解决或评价仍不通过。</w:t>
      </w:r>
    </w:p>
    <w:p w14:paraId="2ACFDB72">
      <w:p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（二）入选试点城市数字化服务商后三个月内，未签订数字化改造合同开展相关服务。</w:t>
      </w:r>
    </w:p>
    <w:p w14:paraId="4B512A7D">
      <w:pPr>
        <w:overflowPunct w:val="0"/>
        <w:autoSpaceDE w:val="0"/>
        <w:autoSpaceDN w:val="0"/>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（三）超过30%企业满意度评价为“不满意”。</w:t>
      </w:r>
    </w:p>
    <w:p w14:paraId="2F08C0E7">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ascii="仿宋_GB2312" w:hAnsi="仿宋_GB2312" w:eastAsia="仿宋_GB2312" w:cs="仿宋_GB2312"/>
          <w:color w:val="000000"/>
          <w:kern w:val="0"/>
          <w:sz w:val="32"/>
          <w:szCs w:val="32"/>
          <w:lang w:bidi="ar"/>
        </w:rPr>
        <w:t>（四）企业当年度经改进提升后二级通过率未达到80%。</w:t>
      </w:r>
    </w:p>
    <w:p w14:paraId="26D3D6A4">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删除内容</w:t>
      </w:r>
    </w:p>
    <w:p w14:paraId="2934B1C7">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ascii="仿宋_GB2312" w:hAnsi="仿宋_GB2312" w:eastAsia="仿宋_GB2312" w:cs="仿宋_GB2312"/>
          <w:color w:val="000000"/>
          <w:sz w:val="32"/>
          <w:szCs w:val="32"/>
          <w:lang w:bidi="ar"/>
        </w:rPr>
        <w:t>删除附件《厦门市中小企业数字化转型试点城市工作服务商评价标准》中一级指标“服务商惩罚情况”（含“警告并限期整改”“取消资格并通报”两个二级指标）相关内容。</w:t>
      </w:r>
    </w:p>
    <w:p w14:paraId="2945F4CD">
      <w:pPr>
        <w:pStyle w:val="2"/>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有关事项</w:t>
      </w:r>
    </w:p>
    <w:p w14:paraId="4976D52F">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（一）本通知自印发之日起施行。</w:t>
      </w:r>
    </w:p>
    <w:p w14:paraId="446EBECD">
      <w:pPr>
        <w:pStyle w:val="2"/>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联系方式</w:t>
      </w:r>
    </w:p>
    <w:p w14:paraId="68666686">
      <w:pPr>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市工信局中小企业处 2896790</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272E">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C0C96">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CC0C96">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8D9F"/>
    <w:multiLevelType w:val="multilevel"/>
    <w:tmpl w:val="9FF38D9F"/>
    <w:lvl w:ilvl="0" w:tentative="0">
      <w:start w:val="1"/>
      <w:numFmt w:val="chineseCounting"/>
      <w:pStyle w:val="2"/>
      <w:suff w:val="nothing"/>
      <w:lvlText w:val="%1、"/>
      <w:lvlJc w:val="left"/>
      <w:pPr>
        <w:tabs>
          <w:tab w:val="left" w:pos="0"/>
        </w:tabs>
        <w:ind w:left="420" w:leftChars="0" w:hanging="420" w:firstLineChars="0"/>
      </w:pPr>
      <w:rPr>
        <w:rFonts w:hint="eastAsia" w:ascii="黑体" w:hAnsi="黑体" w:eastAsia="黑体" w:cs="黑体"/>
        <w:sz w:val="32"/>
        <w:szCs w:val="32"/>
      </w:rPr>
    </w:lvl>
    <w:lvl w:ilvl="1" w:tentative="0">
      <w:start w:val="1"/>
      <w:numFmt w:val="chineseCounting"/>
      <w:pStyle w:val="3"/>
      <w:suff w:val="nothing"/>
      <w:lvlText w:val="（%2）"/>
      <w:lvlJc w:val="left"/>
      <w:pPr>
        <w:ind w:left="420" w:leftChars="0" w:hanging="420" w:firstLineChars="0"/>
      </w:pPr>
      <w:rPr>
        <w:rFonts w:hint="eastAsia" w:ascii="宋体" w:hAnsi="宋体" w:eastAsia="楷体_GB2312"/>
        <w:b/>
        <w:bCs/>
        <w:sz w:val="32"/>
        <w:szCs w:val="32"/>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7FA84E3E"/>
    <w:multiLevelType w:val="singleLevel"/>
    <w:tmpl w:val="7FA84E3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2M1NTJmZTE5ZTdjNTgxOGQyMjZlZTk2N2ZmNTMifQ=="/>
  </w:docVars>
  <w:rsids>
    <w:rsidRoot w:val="1A237A24"/>
    <w:rsid w:val="010E537F"/>
    <w:rsid w:val="067B57E2"/>
    <w:rsid w:val="0C813921"/>
    <w:rsid w:val="0E6A1E1D"/>
    <w:rsid w:val="10CE7BB3"/>
    <w:rsid w:val="136601ED"/>
    <w:rsid w:val="14770033"/>
    <w:rsid w:val="15AC3F9C"/>
    <w:rsid w:val="1A237A24"/>
    <w:rsid w:val="1BBB5EDF"/>
    <w:rsid w:val="233A2812"/>
    <w:rsid w:val="26522492"/>
    <w:rsid w:val="285C01FA"/>
    <w:rsid w:val="2C307CA0"/>
    <w:rsid w:val="2D9F0362"/>
    <w:rsid w:val="2FFE78CA"/>
    <w:rsid w:val="377B3116"/>
    <w:rsid w:val="39552EC9"/>
    <w:rsid w:val="3EF97585"/>
    <w:rsid w:val="4A540B6B"/>
    <w:rsid w:val="54387B55"/>
    <w:rsid w:val="569B5E1C"/>
    <w:rsid w:val="57105081"/>
    <w:rsid w:val="581A249A"/>
    <w:rsid w:val="5B2E57BF"/>
    <w:rsid w:val="5F165E1A"/>
    <w:rsid w:val="62DA0BEF"/>
    <w:rsid w:val="69CF1CA6"/>
    <w:rsid w:val="6A565402"/>
    <w:rsid w:val="6A997939"/>
    <w:rsid w:val="6C3220A1"/>
    <w:rsid w:val="72B55485"/>
    <w:rsid w:val="753272D3"/>
    <w:rsid w:val="7589009F"/>
    <w:rsid w:val="75C379D4"/>
    <w:rsid w:val="7964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60" w:lineRule="exact"/>
      <w:ind w:left="0" w:firstLine="880" w:firstLineChars="200"/>
      <w:outlineLvl w:val="0"/>
    </w:pPr>
    <w:rPr>
      <w:rFonts w:ascii="黑体" w:hAnsi="黑体" w:eastAsia="黑体" w:cs="黑体"/>
      <w:kern w:val="44"/>
    </w:rPr>
  </w:style>
  <w:style w:type="paragraph" w:styleId="3">
    <w:name w:val="heading 2"/>
    <w:basedOn w:val="1"/>
    <w:next w:val="1"/>
    <w:link w:val="19"/>
    <w:unhideWhenUsed/>
    <w:qFormat/>
    <w:uiPriority w:val="0"/>
    <w:pPr>
      <w:keepNext/>
      <w:keepLines/>
      <w:numPr>
        <w:ilvl w:val="1"/>
        <w:numId w:val="1"/>
      </w:numPr>
      <w:spacing w:beforeLines="0" w:beforeAutospacing="0" w:afterLines="0" w:afterAutospacing="0" w:line="560" w:lineRule="exact"/>
      <w:ind w:left="0" w:firstLine="880" w:firstLineChars="200"/>
      <w:outlineLvl w:val="1"/>
    </w:pPr>
    <w:rPr>
      <w:rFonts w:ascii="楷体_GB2312" w:hAnsi="楷体_GB2312" w:eastAsia="楷体_GB2312" w:cs="楷体_GB231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link w:val="18"/>
    <w:qFormat/>
    <w:uiPriority w:val="0"/>
    <w:pPr>
      <w:tabs>
        <w:tab w:val="center" w:pos="4153"/>
        <w:tab w:val="right" w:pos="8306"/>
      </w:tabs>
      <w:snapToGrid w:val="0"/>
      <w:jc w:val="left"/>
    </w:pPr>
    <w:rPr>
      <w:rFonts w:ascii="仿宋_GB2312" w:hAnsi="仿宋_GB2312" w:eastAsia="仿宋_GB2312" w:cs="仿宋_GB2312"/>
      <w:sz w:val="28"/>
      <w:szCs w:val="2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Hyperlink"/>
    <w:basedOn w:val="15"/>
    <w:qFormat/>
    <w:uiPriority w:val="0"/>
    <w:rPr>
      <w:color w:val="0000FF"/>
      <w:u w:val="single"/>
    </w:rPr>
  </w:style>
  <w:style w:type="paragraph" w:customStyle="1" w:styleId="17">
    <w:name w:val="大标题"/>
    <w:next w:val="1"/>
    <w:qFormat/>
    <w:uiPriority w:val="0"/>
    <w:pPr>
      <w:ind w:firstLine="0" w:firstLineChars="0"/>
      <w:jc w:val="center"/>
    </w:pPr>
    <w:rPr>
      <w:rFonts w:hint="eastAsia" w:ascii="方正小标宋简体" w:hAnsi="方正小标宋简体" w:eastAsia="方正小标宋简体" w:cs="方正小标宋简体"/>
      <w:sz w:val="44"/>
      <w:szCs w:val="44"/>
    </w:rPr>
  </w:style>
  <w:style w:type="character" w:customStyle="1" w:styleId="18">
    <w:name w:val="页脚 Char"/>
    <w:basedOn w:val="15"/>
    <w:link w:val="11"/>
    <w:qFormat/>
    <w:uiPriority w:val="99"/>
    <w:rPr>
      <w:rFonts w:ascii="仿宋_GB2312" w:hAnsi="仿宋_GB2312" w:eastAsia="仿宋_GB2312" w:cs="仿宋_GB2312"/>
      <w:sz w:val="28"/>
      <w:szCs w:val="28"/>
    </w:rPr>
  </w:style>
  <w:style w:type="character" w:customStyle="1" w:styleId="19">
    <w:name w:val="标题 2 字符"/>
    <w:link w:val="3"/>
    <w:qFormat/>
    <w:uiPriority w:val="0"/>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1199</Words>
  <Characters>1216</Characters>
  <Lines>0</Lines>
  <Paragraphs>0</Paragraphs>
  <TotalTime>0</TotalTime>
  <ScaleCrop>false</ScaleCrop>
  <LinksUpToDate>false</LinksUpToDate>
  <CharactersWithSpaces>1222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2023-12-05T00:58:00Z</dcterms:created>
  <dc:creator>彼得熊猫</dc:creator>
  <cp:lastModifiedBy>启</cp:lastModifiedBy>
  <dcterms:modified xsi:type="dcterms:W3CDTF">2025-07-04T01:04:00Z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AF803FE0DCE34E5A9551696C5A6F74E8_13</vt:lpwstr>
  </property>
  <property fmtid="{D5CDD505-2E9C-101B-9397-08002B2CF9AE}" pid="4" name="KSOTemplateDocerSaveRecord">
    <vt:lpwstr>eyJoZGlkIjoiY2EzNTQ2YzUwYTA5MzI0ZmMzMzk4YTkxYWEzMmY2YTkiLCJ1c2VySWQiOiI5NDk3MTA3NzcifQ==</vt:lpwstr>
  </property>
</Properties>
</file>