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pageBreakBefore w:val="0"/>
        <w:kinsoku/>
        <w:wordWrap/>
        <w:overflowPunct/>
        <w:topLinePunct w:val="0"/>
        <w:autoSpaceDE/>
        <w:autoSpaceDN/>
        <w:bidi w:val="0"/>
        <w:snapToGrid/>
        <w:spacing w:line="560" w:lineRule="exact"/>
        <w:textAlignment w:val="auto"/>
        <w:rPr>
          <w:rFonts w:hint="eastAsia"/>
          <w:lang w:val="en-US" w:eastAsia="zh-CN"/>
        </w:rPr>
      </w:pPr>
      <w:r>
        <w:rPr>
          <w:rFonts w:hint="eastAsia"/>
          <w:lang w:eastAsia="zh-CN"/>
        </w:rPr>
        <w:t>《进一步强化先进制造</w:t>
      </w:r>
      <w:bookmarkStart w:id="0" w:name="_GoBack"/>
      <w:bookmarkEnd w:id="0"/>
      <w:r>
        <w:rPr>
          <w:rFonts w:hint="eastAsia"/>
          <w:lang w:eastAsia="zh-CN"/>
        </w:rPr>
        <w:t>业倍增计划企业住房保障实施细则（征求意见稿）》</w:t>
      </w:r>
      <w:r>
        <w:rPr>
          <w:rFonts w:hint="eastAsia"/>
          <w:lang w:val="en-US" w:eastAsia="zh-CN"/>
        </w:rPr>
        <w:t>草案解读</w:t>
      </w:r>
    </w:p>
    <w:p>
      <w:pPr>
        <w:pageBreakBefore w:val="0"/>
        <w:kinsoku/>
        <w:wordWrap/>
        <w:overflowPunct/>
        <w:topLinePunct w:val="0"/>
        <w:autoSpaceDE/>
        <w:autoSpaceDN/>
        <w:bidi w:val="0"/>
        <w:snapToGrid/>
        <w:spacing w:line="560" w:lineRule="exact"/>
        <w:textAlignment w:val="auto"/>
        <w:rPr>
          <w:rFonts w:hint="eastAsia"/>
          <w:lang w:val="en-US" w:eastAsia="zh-CN"/>
        </w:rPr>
      </w:pPr>
    </w:p>
    <w:p>
      <w:pPr>
        <w:pStyle w:val="2"/>
        <w:pageBreakBefore w:val="0"/>
        <w:kinsoku/>
        <w:wordWrap/>
        <w:overflowPunct/>
        <w:topLinePunct w:val="0"/>
        <w:autoSpaceDE/>
        <w:autoSpaceDN/>
        <w:bidi w:val="0"/>
        <w:snapToGrid/>
        <w:spacing w:line="560" w:lineRule="exact"/>
        <w:textAlignment w:val="auto"/>
        <w:rPr>
          <w:rFonts w:hint="default"/>
          <w:lang w:val="en-US" w:eastAsia="zh-CN"/>
        </w:rPr>
      </w:pPr>
      <w:r>
        <w:rPr>
          <w:rFonts w:hint="eastAsia"/>
          <w:lang w:val="en-US" w:eastAsia="zh-CN"/>
        </w:rPr>
        <w:t>修订背景</w:t>
      </w:r>
    </w:p>
    <w:p>
      <w:pPr>
        <w:pageBreakBefore w:val="0"/>
        <w:kinsoku/>
        <w:wordWrap/>
        <w:overflowPunct/>
        <w:topLinePunct w:val="0"/>
        <w:autoSpaceDE/>
        <w:autoSpaceDN/>
        <w:bidi w:val="0"/>
        <w:snapToGrid/>
        <w:spacing w:line="560" w:lineRule="exact"/>
        <w:textAlignment w:val="auto"/>
        <w:rPr>
          <w:rFonts w:hint="default"/>
          <w:lang w:val="en-US" w:eastAsia="zh-CN"/>
        </w:rPr>
      </w:pPr>
      <w:r>
        <w:rPr>
          <w:rFonts w:hint="default"/>
          <w:lang w:val="en-US" w:eastAsia="zh-CN"/>
        </w:rPr>
        <w:t>为更精准评估倍增计划企业综合贡献，对《厦门市工业和信息化局 厦门市住房保障和房屋管理局关于印发进一步强化先进制造业倍增计划企业住房保障实施细则的通知》（厦工信规〔2023〕4号）的部分条款予以修订。</w:t>
      </w:r>
    </w:p>
    <w:p>
      <w:pPr>
        <w:pStyle w:val="2"/>
        <w:pageBreakBefore w:val="0"/>
        <w:kinsoku/>
        <w:wordWrap/>
        <w:overflowPunct/>
        <w:topLinePunct w:val="0"/>
        <w:autoSpaceDE/>
        <w:autoSpaceDN/>
        <w:bidi w:val="0"/>
        <w:snapToGrid/>
        <w:spacing w:line="560" w:lineRule="exact"/>
        <w:textAlignment w:val="auto"/>
        <w:rPr>
          <w:rFonts w:hint="default"/>
          <w:lang w:val="en-US" w:eastAsia="zh-CN"/>
        </w:rPr>
      </w:pPr>
      <w:r>
        <w:rPr>
          <w:rFonts w:hint="eastAsia"/>
          <w:lang w:val="en-US" w:eastAsia="zh-CN"/>
        </w:rPr>
        <w:t>修订依据</w:t>
      </w:r>
    </w:p>
    <w:p>
      <w:pPr>
        <w:pageBreakBefore w:val="0"/>
        <w:kinsoku/>
        <w:wordWrap/>
        <w:overflowPunct/>
        <w:topLinePunct w:val="0"/>
        <w:autoSpaceDE/>
        <w:autoSpaceDN/>
        <w:bidi w:val="0"/>
        <w:snapToGrid/>
        <w:spacing w:line="560" w:lineRule="exact"/>
        <w:textAlignment w:val="auto"/>
        <w:rPr>
          <w:rFonts w:hint="default"/>
          <w:lang w:val="en-US" w:eastAsia="zh-CN"/>
        </w:rPr>
      </w:pPr>
      <w:r>
        <w:rPr>
          <w:rFonts w:hint="default"/>
          <w:lang w:val="en-US" w:eastAsia="zh-CN"/>
        </w:rPr>
        <w:t>《厦门市工业和信息化局 厦门市住房保障和房屋管理局关于印发进一步强化先进制造业倍增计划企业住房保障实施细则的通知》（厦工信规〔2023〕4号）</w:t>
      </w:r>
    </w:p>
    <w:p>
      <w:pPr>
        <w:pStyle w:val="2"/>
        <w:pageBreakBefore w:val="0"/>
        <w:kinsoku/>
        <w:wordWrap/>
        <w:overflowPunct/>
        <w:topLinePunct w:val="0"/>
        <w:autoSpaceDE/>
        <w:autoSpaceDN/>
        <w:bidi w:val="0"/>
        <w:snapToGrid/>
        <w:spacing w:line="560" w:lineRule="exact"/>
        <w:textAlignment w:val="auto"/>
        <w:rPr>
          <w:rFonts w:hint="default"/>
          <w:lang w:val="en-US" w:eastAsia="zh-CN"/>
        </w:rPr>
      </w:pPr>
      <w:r>
        <w:rPr>
          <w:rFonts w:hint="eastAsia"/>
          <w:lang w:val="en-US" w:eastAsia="zh-CN"/>
        </w:rPr>
        <w:t>修订内容</w:t>
      </w:r>
    </w:p>
    <w:p>
      <w:pPr>
        <w:pStyle w:val="3"/>
        <w:pageBreakBefore w:val="0"/>
        <w:kinsoku/>
        <w:wordWrap/>
        <w:overflowPunct/>
        <w:topLinePunct w:val="0"/>
        <w:autoSpaceDE/>
        <w:autoSpaceDN/>
        <w:bidi w:val="0"/>
        <w:snapToGrid/>
        <w:spacing w:line="560" w:lineRule="exact"/>
        <w:textAlignment w:val="auto"/>
        <w:rPr>
          <w:rFonts w:hint="eastAsia"/>
          <w:lang w:val="en-US" w:eastAsia="zh-CN"/>
        </w:rPr>
      </w:pPr>
      <w:r>
        <w:rPr>
          <w:rFonts w:hint="eastAsia"/>
          <w:lang w:val="en-US" w:eastAsia="zh-CN"/>
        </w:rPr>
        <w:t>原政策条款</w:t>
      </w:r>
    </w:p>
    <w:p>
      <w:pPr>
        <w:pageBreakBefore w:val="0"/>
        <w:kinsoku/>
        <w:wordWrap/>
        <w:overflowPunct/>
        <w:topLinePunct w:val="0"/>
        <w:autoSpaceDE/>
        <w:autoSpaceDN/>
        <w:bidi w:val="0"/>
        <w:snapToGrid/>
        <w:spacing w:line="560" w:lineRule="exact"/>
        <w:textAlignment w:val="auto"/>
        <w:rPr>
          <w:rFonts w:hint="eastAsia"/>
          <w:lang w:val="en-US" w:eastAsia="zh-CN"/>
        </w:rPr>
      </w:pPr>
      <w:r>
        <w:rPr>
          <w:rFonts w:hint="eastAsia"/>
          <w:lang w:val="en-US" w:eastAsia="zh-CN"/>
        </w:rPr>
        <w:t>根据《厦门市工业和信息化局 厦门市住房保障和房屋管理局关于印发进一步强化先进制造业倍增计划企业住房保障实施细则的通知》（厦工信规〔2023〕4号），企业贡献奖励标准为：</w:t>
      </w:r>
    </w:p>
    <w:p>
      <w:pPr>
        <w:pageBreakBefore w:val="0"/>
        <w:kinsoku/>
        <w:wordWrap/>
        <w:overflowPunct/>
        <w:topLinePunct w:val="0"/>
        <w:autoSpaceDE/>
        <w:autoSpaceDN/>
        <w:bidi w:val="0"/>
        <w:snapToGrid/>
        <w:spacing w:line="560" w:lineRule="exact"/>
        <w:textAlignment w:val="auto"/>
        <w:rPr>
          <w:rFonts w:hint="eastAsia"/>
          <w:lang w:val="en-US" w:eastAsia="zh-CN"/>
        </w:rPr>
      </w:pPr>
      <w:r>
        <w:rPr>
          <w:rFonts w:hint="eastAsia"/>
          <w:lang w:val="en-US" w:eastAsia="zh-CN"/>
        </w:rPr>
        <w:t>1.上一年度工业产值达到50亿元以上且年增长速度达到5%以上（上一年度新投产企业无年增长速度要求，下同），安排30套房源指标；</w:t>
      </w:r>
    </w:p>
    <w:p>
      <w:pPr>
        <w:pageBreakBefore w:val="0"/>
        <w:kinsoku/>
        <w:wordWrap/>
        <w:overflowPunct/>
        <w:topLinePunct w:val="0"/>
        <w:autoSpaceDE/>
        <w:autoSpaceDN/>
        <w:bidi w:val="0"/>
        <w:snapToGrid/>
        <w:spacing w:line="560" w:lineRule="exact"/>
        <w:textAlignment w:val="auto"/>
        <w:rPr>
          <w:rFonts w:hint="eastAsia"/>
          <w:lang w:val="en-US" w:eastAsia="zh-CN"/>
        </w:rPr>
      </w:pPr>
      <w:r>
        <w:rPr>
          <w:rFonts w:hint="eastAsia"/>
          <w:lang w:val="en-US" w:eastAsia="zh-CN"/>
        </w:rPr>
        <w:t>2.上一年度工业产值达到10～50亿元且年增长速度达到10%以上，安排20套房源指标；</w:t>
      </w:r>
    </w:p>
    <w:p>
      <w:pPr>
        <w:pageBreakBefore w:val="0"/>
        <w:kinsoku/>
        <w:wordWrap/>
        <w:overflowPunct/>
        <w:topLinePunct w:val="0"/>
        <w:autoSpaceDE/>
        <w:autoSpaceDN/>
        <w:bidi w:val="0"/>
        <w:snapToGrid/>
        <w:spacing w:line="560" w:lineRule="exact"/>
        <w:textAlignment w:val="auto"/>
        <w:rPr>
          <w:rFonts w:hint="eastAsia"/>
          <w:lang w:val="en-US" w:eastAsia="zh-CN"/>
        </w:rPr>
      </w:pPr>
      <w:r>
        <w:rPr>
          <w:rFonts w:hint="eastAsia"/>
          <w:lang w:val="en-US" w:eastAsia="zh-CN"/>
        </w:rPr>
        <w:t>3.上一年度工业产值达到1～10亿元且年增长速度达到20%以上，安排10套房源指标；</w:t>
      </w:r>
    </w:p>
    <w:p>
      <w:pPr>
        <w:pageBreakBefore w:val="0"/>
        <w:kinsoku/>
        <w:wordWrap/>
        <w:overflowPunct/>
        <w:topLinePunct w:val="0"/>
        <w:autoSpaceDE/>
        <w:autoSpaceDN/>
        <w:bidi w:val="0"/>
        <w:snapToGrid/>
        <w:spacing w:line="560" w:lineRule="exact"/>
        <w:textAlignment w:val="auto"/>
        <w:rPr>
          <w:rFonts w:hint="eastAsia"/>
          <w:lang w:val="en-US" w:eastAsia="zh-CN"/>
        </w:rPr>
      </w:pPr>
      <w:r>
        <w:rPr>
          <w:rFonts w:hint="eastAsia"/>
          <w:lang w:val="en-US" w:eastAsia="zh-CN"/>
        </w:rPr>
        <w:t>4.上一年度工业投资达到5亿元（含）以上，安排10套房源指标。</w:t>
      </w:r>
    </w:p>
    <w:p>
      <w:pPr>
        <w:pStyle w:val="3"/>
        <w:pageBreakBefore w:val="0"/>
        <w:kinsoku/>
        <w:wordWrap/>
        <w:overflowPunct/>
        <w:topLinePunct w:val="0"/>
        <w:autoSpaceDE/>
        <w:autoSpaceDN/>
        <w:bidi w:val="0"/>
        <w:snapToGrid/>
        <w:spacing w:line="560" w:lineRule="exact"/>
        <w:textAlignment w:val="auto"/>
        <w:rPr>
          <w:rFonts w:hint="eastAsia"/>
          <w:lang w:val="en-US" w:eastAsia="zh-CN"/>
        </w:rPr>
      </w:pPr>
      <w:r>
        <w:rPr>
          <w:rFonts w:hint="eastAsia"/>
          <w:lang w:val="en-US" w:eastAsia="zh-CN"/>
        </w:rPr>
        <w:t>修订后政策条款</w:t>
      </w:r>
    </w:p>
    <w:p>
      <w:pPr>
        <w:pageBreakBefore w:val="0"/>
        <w:kinsoku/>
        <w:wordWrap/>
        <w:overflowPunct/>
        <w:topLinePunct w:val="0"/>
        <w:autoSpaceDE/>
        <w:autoSpaceDN/>
        <w:bidi w:val="0"/>
        <w:snapToGrid/>
        <w:spacing w:line="560" w:lineRule="exact"/>
        <w:textAlignment w:val="auto"/>
        <w:rPr>
          <w:rFonts w:hint="eastAsia"/>
          <w:lang w:val="en-US" w:eastAsia="zh-CN"/>
        </w:rPr>
      </w:pPr>
      <w:r>
        <w:rPr>
          <w:rFonts w:hint="eastAsia"/>
          <w:lang w:val="en-US" w:eastAsia="zh-CN"/>
        </w:rPr>
        <w:t>在原政策基础上增加主营业务收入指标，同时明确四个奖励标准不叠加享受，修订后企业贡献奖励标准为：</w:t>
      </w:r>
    </w:p>
    <w:p>
      <w:pPr>
        <w:pageBreakBefore w:val="0"/>
        <w:kinsoku/>
        <w:wordWrap/>
        <w:overflowPunct/>
        <w:topLinePunct w:val="0"/>
        <w:autoSpaceDE/>
        <w:autoSpaceDN/>
        <w:bidi w:val="0"/>
        <w:snapToGrid/>
        <w:spacing w:line="560" w:lineRule="exact"/>
        <w:textAlignment w:val="auto"/>
        <w:rPr>
          <w:rFonts w:hint="eastAsia"/>
          <w:lang w:val="en-US" w:eastAsia="zh-CN"/>
        </w:rPr>
      </w:pPr>
      <w:r>
        <w:rPr>
          <w:rFonts w:hint="eastAsia"/>
          <w:lang w:val="en-US" w:eastAsia="zh-CN"/>
        </w:rPr>
        <w:t>1.上一年度工业产值或主营业务收入达到50亿元以上且年增长速度达到5%以上（上一年度新投产企业无年增长速度要求，下同），安排30套房源指标；</w:t>
      </w:r>
    </w:p>
    <w:p>
      <w:pPr>
        <w:pageBreakBefore w:val="0"/>
        <w:kinsoku/>
        <w:wordWrap/>
        <w:overflowPunct/>
        <w:topLinePunct w:val="0"/>
        <w:autoSpaceDE/>
        <w:autoSpaceDN/>
        <w:bidi w:val="0"/>
        <w:snapToGrid/>
        <w:spacing w:line="560" w:lineRule="exact"/>
        <w:textAlignment w:val="auto"/>
        <w:rPr>
          <w:rFonts w:hint="eastAsia"/>
          <w:lang w:val="en-US" w:eastAsia="zh-CN"/>
        </w:rPr>
      </w:pPr>
      <w:r>
        <w:rPr>
          <w:rFonts w:hint="eastAsia"/>
          <w:lang w:val="en-US" w:eastAsia="zh-CN"/>
        </w:rPr>
        <w:t>2.上一年度工业产值或主营业务收入达到10～50亿元且年增长速度达到10%以上，安排20套房源指标；</w:t>
      </w:r>
    </w:p>
    <w:p>
      <w:pPr>
        <w:pageBreakBefore w:val="0"/>
        <w:kinsoku/>
        <w:wordWrap/>
        <w:overflowPunct/>
        <w:topLinePunct w:val="0"/>
        <w:autoSpaceDE/>
        <w:autoSpaceDN/>
        <w:bidi w:val="0"/>
        <w:snapToGrid/>
        <w:spacing w:line="560" w:lineRule="exact"/>
        <w:textAlignment w:val="auto"/>
        <w:rPr>
          <w:rFonts w:hint="eastAsia"/>
          <w:lang w:val="en-US" w:eastAsia="zh-CN"/>
        </w:rPr>
      </w:pPr>
      <w:r>
        <w:rPr>
          <w:rFonts w:hint="eastAsia"/>
          <w:lang w:val="en-US" w:eastAsia="zh-CN"/>
        </w:rPr>
        <w:t>3.上一年度工业产值或主营业务收入达到1～10亿元且年增长速度达到20%以上，安排10套房源指标；</w:t>
      </w:r>
    </w:p>
    <w:p>
      <w:pPr>
        <w:pageBreakBefore w:val="0"/>
        <w:kinsoku/>
        <w:wordWrap/>
        <w:overflowPunct/>
        <w:topLinePunct w:val="0"/>
        <w:autoSpaceDE/>
        <w:autoSpaceDN/>
        <w:bidi w:val="0"/>
        <w:snapToGrid/>
        <w:spacing w:line="560" w:lineRule="exact"/>
        <w:textAlignment w:val="auto"/>
        <w:rPr>
          <w:rFonts w:hint="eastAsia"/>
          <w:lang w:val="en-US" w:eastAsia="zh-CN"/>
        </w:rPr>
      </w:pPr>
      <w:r>
        <w:rPr>
          <w:rFonts w:hint="eastAsia"/>
          <w:lang w:val="en-US" w:eastAsia="zh-CN"/>
        </w:rPr>
        <w:t>4.上一年度工业投资达到5亿元（含）以上，安排10套房源指标。</w:t>
      </w:r>
    </w:p>
    <w:p>
      <w:pPr>
        <w:pageBreakBefore w:val="0"/>
        <w:kinsoku/>
        <w:wordWrap/>
        <w:overflowPunct/>
        <w:topLinePunct w:val="0"/>
        <w:autoSpaceDE/>
        <w:autoSpaceDN/>
        <w:bidi w:val="0"/>
        <w:snapToGrid/>
        <w:spacing w:line="560" w:lineRule="exact"/>
        <w:textAlignment w:val="auto"/>
        <w:rPr>
          <w:rFonts w:hint="eastAsia"/>
          <w:lang w:val="en-US" w:eastAsia="zh-CN"/>
        </w:rPr>
      </w:pPr>
      <w:r>
        <w:rPr>
          <w:rFonts w:hint="eastAsia"/>
          <w:lang w:val="en-US" w:eastAsia="zh-CN"/>
        </w:rPr>
        <w:t>以上四个奖励标准不叠加享受。</w:t>
      </w:r>
    </w:p>
    <w:p>
      <w:pPr>
        <w:pStyle w:val="2"/>
        <w:pageBreakBefore w:val="0"/>
        <w:kinsoku/>
        <w:wordWrap/>
        <w:overflowPunct/>
        <w:topLinePunct w:val="0"/>
        <w:autoSpaceDE/>
        <w:autoSpaceDN/>
        <w:bidi w:val="0"/>
        <w:snapToGrid/>
        <w:spacing w:line="560" w:lineRule="exact"/>
        <w:textAlignment w:val="auto"/>
        <w:rPr>
          <w:rFonts w:hint="eastAsia"/>
          <w:lang w:val="en-US" w:eastAsia="zh-CN"/>
        </w:rPr>
      </w:pPr>
      <w:r>
        <w:rPr>
          <w:rFonts w:hint="eastAsia"/>
          <w:lang w:val="en-US" w:eastAsia="zh-CN"/>
        </w:rPr>
        <w:t>有关事项</w:t>
      </w:r>
    </w:p>
    <w:p>
      <w:pPr>
        <w:pageBreakBefore w:val="0"/>
        <w:kinsoku/>
        <w:wordWrap/>
        <w:overflowPunct/>
        <w:topLinePunct w:val="0"/>
        <w:autoSpaceDE/>
        <w:autoSpaceDN/>
        <w:bidi w:val="0"/>
        <w:snapToGrid/>
        <w:spacing w:line="560" w:lineRule="exact"/>
        <w:textAlignment w:val="auto"/>
        <w:rPr>
          <w:rFonts w:hint="eastAsia"/>
          <w:lang w:val="en-US" w:eastAsia="zh-CN"/>
        </w:rPr>
      </w:pPr>
      <w:r>
        <w:rPr>
          <w:rFonts w:hint="eastAsia"/>
          <w:lang w:val="en-US" w:eastAsia="zh-CN"/>
        </w:rPr>
        <w:t>（一）本通知自印发之日起实施。</w:t>
      </w:r>
    </w:p>
    <w:p>
      <w:pPr>
        <w:pageBreakBefore w:val="0"/>
        <w:kinsoku/>
        <w:wordWrap/>
        <w:overflowPunct/>
        <w:topLinePunct w:val="0"/>
        <w:autoSpaceDE/>
        <w:autoSpaceDN/>
        <w:bidi w:val="0"/>
        <w:snapToGrid/>
        <w:spacing w:line="560" w:lineRule="exact"/>
        <w:textAlignment w:val="auto"/>
        <w:rPr>
          <w:rFonts w:hint="eastAsia"/>
          <w:lang w:val="en-US" w:eastAsia="zh-CN"/>
        </w:rPr>
      </w:pPr>
      <w:r>
        <w:rPr>
          <w:rFonts w:hint="eastAsia"/>
          <w:lang w:val="en-US" w:eastAsia="zh-CN"/>
        </w:rPr>
        <w:t>（二）此前文件与本通知不一致的，以本通知为准。</w:t>
      </w:r>
    </w:p>
    <w:p>
      <w:pPr>
        <w:pStyle w:val="2"/>
        <w:pageBreakBefore w:val="0"/>
        <w:kinsoku/>
        <w:wordWrap/>
        <w:overflowPunct/>
        <w:topLinePunct w:val="0"/>
        <w:autoSpaceDE/>
        <w:autoSpaceDN/>
        <w:bidi w:val="0"/>
        <w:snapToGrid/>
        <w:spacing w:line="560" w:lineRule="exact"/>
        <w:textAlignment w:val="auto"/>
        <w:rPr>
          <w:rFonts w:hint="eastAsia"/>
          <w:lang w:val="en-US" w:eastAsia="zh-CN"/>
        </w:rPr>
      </w:pPr>
      <w:r>
        <w:rPr>
          <w:rFonts w:hint="eastAsia"/>
          <w:lang w:val="en-US" w:eastAsia="zh-CN"/>
        </w:rPr>
        <w:t>联系方式</w:t>
      </w:r>
    </w:p>
    <w:p>
      <w:pPr>
        <w:pageBreakBefore w:val="0"/>
        <w:kinsoku/>
        <w:wordWrap/>
        <w:overflowPunct/>
        <w:topLinePunct w:val="0"/>
        <w:autoSpaceDE/>
        <w:autoSpaceDN/>
        <w:bidi w:val="0"/>
        <w:snapToGrid/>
        <w:spacing w:line="560" w:lineRule="exact"/>
        <w:textAlignment w:val="auto"/>
        <w:rPr>
          <w:rFonts w:hint="eastAsia"/>
          <w:lang w:val="en-US" w:eastAsia="zh-CN"/>
        </w:rPr>
      </w:pPr>
      <w:r>
        <w:rPr>
          <w:rFonts w:hint="eastAsia"/>
          <w:lang w:val="en-US" w:eastAsia="zh-CN"/>
        </w:rPr>
        <w:t>市工信局中小企业处 2896761</w:t>
      </w:r>
    </w:p>
    <w:p>
      <w:pPr>
        <w:pageBreakBefore w:val="0"/>
        <w:kinsoku/>
        <w:wordWrap/>
        <w:overflowPunct/>
        <w:topLinePunct w:val="0"/>
        <w:autoSpaceDE/>
        <w:autoSpaceDN/>
        <w:bidi w:val="0"/>
        <w:snapToGrid/>
        <w:spacing w:line="560" w:lineRule="exact"/>
        <w:ind w:firstLine="0" w:firstLineChars="0"/>
        <w:textAlignment w:val="auto"/>
        <w:rPr>
          <w:rFonts w:hint="default"/>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38D9F"/>
    <w:multiLevelType w:val="multilevel"/>
    <w:tmpl w:val="9FF38D9F"/>
    <w:lvl w:ilvl="0" w:tentative="0">
      <w:start w:val="1"/>
      <w:numFmt w:val="chineseCounting"/>
      <w:pStyle w:val="2"/>
      <w:suff w:val="nothing"/>
      <w:lvlText w:val="%1、"/>
      <w:lvlJc w:val="left"/>
      <w:pPr>
        <w:tabs>
          <w:tab w:val="left" w:pos="0"/>
        </w:tabs>
        <w:ind w:left="420" w:leftChars="0" w:hanging="420" w:firstLineChars="0"/>
      </w:pPr>
      <w:rPr>
        <w:rFonts w:hint="eastAsia" w:ascii="黑体" w:hAnsi="黑体" w:eastAsia="黑体" w:cs="黑体"/>
        <w:sz w:val="32"/>
        <w:szCs w:val="32"/>
      </w:rPr>
    </w:lvl>
    <w:lvl w:ilvl="1" w:tentative="0">
      <w:start w:val="1"/>
      <w:numFmt w:val="chineseCounting"/>
      <w:pStyle w:val="3"/>
      <w:suff w:val="nothing"/>
      <w:lvlText w:val="（%2）"/>
      <w:lvlJc w:val="left"/>
      <w:pPr>
        <w:ind w:left="420" w:leftChars="0" w:hanging="420" w:firstLineChars="0"/>
      </w:pPr>
      <w:rPr>
        <w:rFonts w:hint="eastAsia" w:ascii="宋体" w:hAnsi="宋体" w:eastAsia="楷体_GB2312"/>
        <w:b w:val="0"/>
        <w:bCs w:val="0"/>
        <w:sz w:val="32"/>
        <w:szCs w:val="32"/>
      </w:rPr>
    </w:lvl>
    <w:lvl w:ilvl="2" w:tentative="0">
      <w:start w:val="1"/>
      <w:numFmt w:val="decimal"/>
      <w:pStyle w:val="4"/>
      <w:suff w:val="nothing"/>
      <w:lvlText w:val="%3．"/>
      <w:lvlJc w:val="left"/>
      <w:pPr>
        <w:ind w:left="0" w:firstLine="400"/>
      </w:pPr>
      <w:rPr>
        <w:rFonts w:hint="eastAsia" w:ascii="宋体" w:hAnsi="宋体" w:eastAsia="宋体" w:cs="宋体"/>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M2M1NTJmZTE5ZTdjNTgxOGQyMjZlZTk2N2ZmNTMifQ=="/>
  </w:docVars>
  <w:rsids>
    <w:rsidRoot w:val="1A237A24"/>
    <w:rsid w:val="067B57E2"/>
    <w:rsid w:val="0C813921"/>
    <w:rsid w:val="0E6A1E1D"/>
    <w:rsid w:val="10CE7BB3"/>
    <w:rsid w:val="136601ED"/>
    <w:rsid w:val="14770033"/>
    <w:rsid w:val="15AC3F9C"/>
    <w:rsid w:val="1A237A24"/>
    <w:rsid w:val="26522492"/>
    <w:rsid w:val="2C307CA0"/>
    <w:rsid w:val="2FFE78CA"/>
    <w:rsid w:val="377B3116"/>
    <w:rsid w:val="39552EC9"/>
    <w:rsid w:val="4A540B6B"/>
    <w:rsid w:val="57105081"/>
    <w:rsid w:val="581A249A"/>
    <w:rsid w:val="5B2E57BF"/>
    <w:rsid w:val="5F165E1A"/>
    <w:rsid w:val="62DA0BEF"/>
    <w:rsid w:val="69CF1CA6"/>
    <w:rsid w:val="6A565402"/>
    <w:rsid w:val="6A997939"/>
    <w:rsid w:val="6C3220A1"/>
    <w:rsid w:val="72B55485"/>
    <w:rsid w:val="753272D3"/>
    <w:rsid w:val="7589009F"/>
    <w:rsid w:val="75C379D4"/>
    <w:rsid w:val="79643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560" w:lineRule="exact"/>
      <w:ind w:firstLine="880" w:firstLineChars="20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560" w:lineRule="exact"/>
      <w:ind w:left="0" w:firstLine="880" w:firstLineChars="200"/>
      <w:outlineLvl w:val="0"/>
    </w:pPr>
    <w:rPr>
      <w:rFonts w:ascii="黑体" w:hAnsi="黑体" w:eastAsia="黑体" w:cs="黑体"/>
      <w:kern w:val="44"/>
    </w:rPr>
  </w:style>
  <w:style w:type="paragraph" w:styleId="3">
    <w:name w:val="heading 2"/>
    <w:basedOn w:val="1"/>
    <w:next w:val="1"/>
    <w:unhideWhenUsed/>
    <w:qFormat/>
    <w:uiPriority w:val="0"/>
    <w:pPr>
      <w:keepNext/>
      <w:keepLines/>
      <w:numPr>
        <w:ilvl w:val="1"/>
        <w:numId w:val="1"/>
      </w:numPr>
      <w:spacing w:beforeLines="0" w:beforeAutospacing="0" w:afterLines="0" w:afterAutospacing="0" w:line="560" w:lineRule="exact"/>
      <w:ind w:left="0" w:firstLine="880" w:firstLineChars="200"/>
      <w:outlineLvl w:val="1"/>
    </w:pPr>
    <w:rPr>
      <w:rFonts w:ascii="楷体_GB2312" w:hAnsi="楷体_GB2312" w:eastAsia="楷体_GB2312" w:cs="楷体_GB231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4">
    <w:name w:val="Default Paragraph Font"/>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11">
    <w:name w:val="footer"/>
    <w:basedOn w:val="1"/>
    <w:link w:val="17"/>
    <w:qFormat/>
    <w:uiPriority w:val="0"/>
    <w:pPr>
      <w:tabs>
        <w:tab w:val="center" w:pos="4153"/>
        <w:tab w:val="right" w:pos="8306"/>
      </w:tabs>
      <w:snapToGrid w:val="0"/>
      <w:jc w:val="left"/>
    </w:pPr>
    <w:rPr>
      <w:rFonts w:ascii="仿宋_GB2312" w:hAnsi="仿宋_GB2312" w:eastAsia="仿宋_GB2312" w:cs="仿宋_GB2312"/>
      <w:sz w:val="28"/>
      <w:szCs w:val="2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5">
    <w:name w:val="Hyperlink"/>
    <w:basedOn w:val="14"/>
    <w:qFormat/>
    <w:uiPriority w:val="0"/>
    <w:rPr>
      <w:color w:val="0000FF"/>
      <w:u w:val="single"/>
    </w:rPr>
  </w:style>
  <w:style w:type="paragraph" w:customStyle="1" w:styleId="16">
    <w:name w:val="大标题"/>
    <w:next w:val="1"/>
    <w:qFormat/>
    <w:uiPriority w:val="0"/>
    <w:pPr>
      <w:ind w:firstLine="0" w:firstLineChars="0"/>
      <w:jc w:val="center"/>
    </w:pPr>
    <w:rPr>
      <w:rFonts w:hint="eastAsia" w:ascii="方正小标宋简体" w:hAnsi="方正小标宋简体" w:eastAsia="方正小标宋简体" w:cs="方正小标宋简体"/>
      <w:sz w:val="44"/>
      <w:szCs w:val="44"/>
    </w:rPr>
  </w:style>
  <w:style w:type="character" w:customStyle="1" w:styleId="17">
    <w:name w:val="页脚 Char"/>
    <w:basedOn w:val="14"/>
    <w:link w:val="11"/>
    <w:qFormat/>
    <w:uiPriority w:val="99"/>
    <w:rPr>
      <w:rFonts w:ascii="仿宋_GB2312" w:hAnsi="仿宋_GB2312" w:eastAsia="仿宋_GB2312" w:cs="仿宋_GB231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836</Words>
  <Characters>943</Characters>
  <Lines>0</Lines>
  <Paragraphs>0</Paragraphs>
  <TotalTime>77</TotalTime>
  <ScaleCrop>false</ScaleCrop>
  <LinksUpToDate>false</LinksUpToDate>
  <CharactersWithSpaces>948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2023-12-05T00:58:00Z</dcterms:created>
  <dc:creator>彼得熊猫</dc:creator>
  <cp:lastModifiedBy>随意的条理</cp:lastModifiedBy>
  <dcterms:modified xsi:type="dcterms:W3CDTF">2024-12-09T01:07:07Z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AF803FE0DCE34E5A9551696C5A6F74E8_13</vt:lpwstr>
  </property>
</Properties>
</file>